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C2EF" w14:textId="44B88F9A" w:rsidR="005651EA" w:rsidRDefault="00D3110A" w:rsidP="005651EA">
      <w:pPr>
        <w:tabs>
          <w:tab w:val="left" w:pos="6804"/>
        </w:tabs>
        <w:ind w:left="5529"/>
        <w:rPr>
          <w:szCs w:val="24"/>
          <w:lang w:eastAsia="lt-LT"/>
        </w:rPr>
      </w:pPr>
      <w:r>
        <w:t xml:space="preserve"> </w:t>
      </w:r>
      <w:r w:rsidR="00E92AE8">
        <w:t xml:space="preserve">  </w:t>
      </w:r>
      <w:r w:rsidR="005651EA">
        <w:t>Valstybinių ir savivaldybių švietimo įstaigų (išskyrus aukštąsias mokyklas) vadovų, jų pavaduotojų ugdymui, ugdymą organizuojančių skyrių vedėjų veiklos vertinimo nuostatų</w:t>
      </w:r>
    </w:p>
    <w:p w14:paraId="23F12B8F" w14:textId="77777777" w:rsidR="005651EA" w:rsidRDefault="005651EA" w:rsidP="005651EA">
      <w:pPr>
        <w:tabs>
          <w:tab w:val="left" w:pos="6804"/>
        </w:tabs>
        <w:ind w:left="5529"/>
        <w:rPr>
          <w:szCs w:val="24"/>
          <w:lang w:eastAsia="ar-SA"/>
        </w:rPr>
      </w:pPr>
      <w:r>
        <w:rPr>
          <w:szCs w:val="24"/>
          <w:lang w:eastAsia="ar-SA"/>
        </w:rPr>
        <w:t>1 priedas</w:t>
      </w:r>
    </w:p>
    <w:p w14:paraId="7620D387" w14:textId="77777777" w:rsidR="005651EA" w:rsidRDefault="005651EA" w:rsidP="005651EA">
      <w:pPr>
        <w:tabs>
          <w:tab w:val="left" w:pos="6237"/>
          <w:tab w:val="right" w:pos="8306"/>
        </w:tabs>
        <w:rPr>
          <w:szCs w:val="24"/>
        </w:rPr>
      </w:pPr>
    </w:p>
    <w:p w14:paraId="645FE64A" w14:textId="77777777" w:rsidR="005651EA" w:rsidRDefault="005651EA" w:rsidP="005651EA">
      <w:pPr>
        <w:jc w:val="center"/>
        <w:rPr>
          <w:b/>
          <w:szCs w:val="24"/>
          <w:lang w:eastAsia="lt-LT"/>
        </w:rPr>
      </w:pPr>
    </w:p>
    <w:p w14:paraId="4E1295A6" w14:textId="77777777" w:rsidR="005651EA" w:rsidRDefault="005651EA" w:rsidP="005651EA">
      <w:pPr>
        <w:jc w:val="center"/>
        <w:rPr>
          <w:b/>
          <w:szCs w:val="24"/>
          <w:lang w:eastAsia="lt-LT"/>
        </w:rPr>
      </w:pPr>
    </w:p>
    <w:p w14:paraId="3A03E94E" w14:textId="77777777" w:rsidR="005651EA" w:rsidRDefault="00692DD7" w:rsidP="005651EA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  Prienų lopšelis-darželis „Pasaka“</w:t>
      </w:r>
    </w:p>
    <w:p w14:paraId="431A33AC" w14:textId="77777777" w:rsidR="005651EA" w:rsidRDefault="005651EA" w:rsidP="005651EA">
      <w:pPr>
        <w:tabs>
          <w:tab w:val="left" w:pos="14656"/>
        </w:tabs>
        <w:jc w:val="center"/>
        <w:rPr>
          <w:sz w:val="20"/>
          <w:lang w:eastAsia="lt-LT"/>
        </w:rPr>
      </w:pPr>
    </w:p>
    <w:p w14:paraId="5F3D1B42" w14:textId="2E7D107D" w:rsidR="005651EA" w:rsidRDefault="005651EA" w:rsidP="005651EA">
      <w:pPr>
        <w:tabs>
          <w:tab w:val="left" w:pos="14656"/>
        </w:tabs>
        <w:jc w:val="center"/>
        <w:rPr>
          <w:szCs w:val="24"/>
          <w:lang w:eastAsia="lt-LT"/>
        </w:rPr>
      </w:pPr>
    </w:p>
    <w:p w14:paraId="464BA1A5" w14:textId="77777777" w:rsidR="005651EA" w:rsidRDefault="005651EA" w:rsidP="005651EA">
      <w:pPr>
        <w:jc w:val="center"/>
        <w:rPr>
          <w:sz w:val="20"/>
          <w:lang w:eastAsia="lt-LT"/>
        </w:rPr>
      </w:pPr>
    </w:p>
    <w:p w14:paraId="5E851BA5" w14:textId="77777777" w:rsidR="005651EA" w:rsidRDefault="005651EA" w:rsidP="005651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14:paraId="33826794" w14:textId="77777777" w:rsidR="005651EA" w:rsidRDefault="005651EA" w:rsidP="005651EA">
      <w:pPr>
        <w:jc w:val="center"/>
        <w:rPr>
          <w:szCs w:val="24"/>
          <w:lang w:eastAsia="lt-LT"/>
        </w:rPr>
      </w:pPr>
    </w:p>
    <w:p w14:paraId="2CCC5C0D" w14:textId="662B8DE9" w:rsidR="005651EA" w:rsidRDefault="00692DD7" w:rsidP="005651EA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</w:t>
      </w:r>
      <w:r w:rsidR="00790EFF"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 m. sausio 20 d. </w:t>
      </w:r>
      <w:r w:rsidR="005651EA">
        <w:rPr>
          <w:szCs w:val="24"/>
          <w:lang w:eastAsia="lt-LT"/>
        </w:rPr>
        <w:t xml:space="preserve"> Nr. </w:t>
      </w:r>
      <w:r w:rsidR="00764DC1">
        <w:rPr>
          <w:szCs w:val="24"/>
          <w:lang w:eastAsia="lt-LT"/>
        </w:rPr>
        <w:t>1</w:t>
      </w:r>
      <w:r w:rsidR="005651EA">
        <w:rPr>
          <w:szCs w:val="24"/>
          <w:lang w:eastAsia="lt-LT"/>
        </w:rPr>
        <w:t xml:space="preserve"> </w:t>
      </w:r>
    </w:p>
    <w:p w14:paraId="36F43CE9" w14:textId="77777777" w:rsidR="005651EA" w:rsidRDefault="005651EA" w:rsidP="005651EA">
      <w:pPr>
        <w:jc w:val="center"/>
        <w:rPr>
          <w:lang w:eastAsia="lt-LT"/>
        </w:rPr>
      </w:pPr>
      <w:r>
        <w:rPr>
          <w:lang w:eastAsia="lt-LT"/>
        </w:rPr>
        <w:t>(data)</w:t>
      </w:r>
    </w:p>
    <w:p w14:paraId="52D1767C" w14:textId="77777777" w:rsidR="005651EA" w:rsidRDefault="00692DD7" w:rsidP="005651EA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Prienai</w:t>
      </w:r>
    </w:p>
    <w:p w14:paraId="48BB4398" w14:textId="77777777" w:rsidR="005651EA" w:rsidRDefault="005651EA" w:rsidP="005651EA">
      <w:pPr>
        <w:tabs>
          <w:tab w:val="left" w:pos="3828"/>
        </w:tabs>
        <w:jc w:val="center"/>
        <w:rPr>
          <w:lang w:eastAsia="lt-LT"/>
        </w:rPr>
      </w:pPr>
      <w:r>
        <w:rPr>
          <w:lang w:eastAsia="lt-LT"/>
        </w:rPr>
        <w:t>(sudarymo vieta)</w:t>
      </w:r>
    </w:p>
    <w:p w14:paraId="531D022C" w14:textId="77777777" w:rsidR="005651EA" w:rsidRDefault="005651EA" w:rsidP="005651EA">
      <w:pPr>
        <w:jc w:val="center"/>
        <w:rPr>
          <w:lang w:eastAsia="lt-LT"/>
        </w:rPr>
      </w:pPr>
    </w:p>
    <w:p w14:paraId="1AE937AA" w14:textId="77777777" w:rsidR="005651EA" w:rsidRDefault="005651EA" w:rsidP="005651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00093AE5" w14:textId="77777777" w:rsidR="005651EA" w:rsidRDefault="005651EA" w:rsidP="005651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7D251743" w14:textId="77777777" w:rsidR="005651EA" w:rsidRDefault="005651EA" w:rsidP="005651EA">
      <w:pPr>
        <w:jc w:val="center"/>
        <w:rPr>
          <w:b/>
          <w:lang w:eastAsia="lt-LT"/>
        </w:rPr>
      </w:pP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5651EA" w14:paraId="74E1CC76" w14:textId="77777777" w:rsidTr="00A55188">
        <w:trPr>
          <w:trHeight w:val="13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6EC3" w14:textId="55FBC821" w:rsidR="001F21DD" w:rsidRPr="00F84C1B" w:rsidRDefault="001F21DD" w:rsidP="00F84C1B">
            <w:pPr>
              <w:overflowPunct w:val="0"/>
              <w:spacing w:line="276" w:lineRule="auto"/>
              <w:jc w:val="both"/>
              <w:textAlignment w:val="baseline"/>
              <w:rPr>
                <w:sz w:val="20"/>
                <w:lang w:eastAsia="lt-LT"/>
              </w:rPr>
            </w:pPr>
            <w:r w:rsidRPr="00F84C1B">
              <w:rPr>
                <w:sz w:val="20"/>
                <w:lang w:eastAsia="lt-LT"/>
              </w:rPr>
              <w:t xml:space="preserve">                Lopšelis-darželis veikia nuo 1973 metų. Mokykloje teikiamas ikimokyklinio ir  priešmokyklinio amžiaus vaikams, turintiems individualių ugdymosi poreikių  ugdymas.  202</w:t>
            </w:r>
            <w:r w:rsidR="00790EFF">
              <w:rPr>
                <w:sz w:val="20"/>
                <w:lang w:eastAsia="lt-LT"/>
              </w:rPr>
              <w:t>2</w:t>
            </w:r>
            <w:r w:rsidRPr="00F84C1B">
              <w:rPr>
                <w:sz w:val="20"/>
                <w:lang w:eastAsia="lt-LT"/>
              </w:rPr>
              <w:t xml:space="preserve"> m. eigoje  vidutiniškai lankė </w:t>
            </w:r>
            <w:r w:rsidR="00D3565F">
              <w:rPr>
                <w:sz w:val="20"/>
                <w:lang w:eastAsia="lt-LT"/>
              </w:rPr>
              <w:t>1</w:t>
            </w:r>
            <w:r w:rsidR="003D0897">
              <w:rPr>
                <w:sz w:val="20"/>
                <w:lang w:eastAsia="lt-LT"/>
              </w:rPr>
              <w:t>44</w:t>
            </w:r>
            <w:r w:rsidRPr="00F84C1B">
              <w:rPr>
                <w:sz w:val="20"/>
                <w:lang w:eastAsia="lt-LT"/>
              </w:rPr>
              <w:t xml:space="preserve"> ugdytiniai. Iš jų </w:t>
            </w:r>
            <w:r w:rsidR="00786B0A">
              <w:rPr>
                <w:sz w:val="20"/>
                <w:lang w:eastAsia="lt-LT"/>
              </w:rPr>
              <w:t>46</w:t>
            </w:r>
            <w:r w:rsidRPr="00F84C1B">
              <w:rPr>
                <w:sz w:val="20"/>
                <w:lang w:eastAsia="lt-LT"/>
              </w:rPr>
              <w:t xml:space="preserve"> turintys individualių poreikių, </w:t>
            </w:r>
            <w:r w:rsidR="00667845">
              <w:rPr>
                <w:sz w:val="20"/>
                <w:lang w:eastAsia="lt-LT"/>
              </w:rPr>
              <w:t>20</w:t>
            </w:r>
            <w:r w:rsidRPr="00F84C1B">
              <w:rPr>
                <w:sz w:val="20"/>
                <w:lang w:eastAsia="lt-LT"/>
              </w:rPr>
              <w:t xml:space="preserve"> turintys įvairiapusių raidos sutrikimų. Veikia 11 grupių: </w:t>
            </w:r>
            <w:r w:rsidR="003D0897">
              <w:rPr>
                <w:sz w:val="20"/>
                <w:lang w:eastAsia="lt-LT"/>
              </w:rPr>
              <w:t>3</w:t>
            </w:r>
            <w:r w:rsidRPr="00F84C1B">
              <w:rPr>
                <w:sz w:val="20"/>
                <w:lang w:eastAsia="lt-LT"/>
              </w:rPr>
              <w:t xml:space="preserve"> ankstyvojo</w:t>
            </w:r>
            <w:r w:rsidR="00667845">
              <w:rPr>
                <w:sz w:val="20"/>
                <w:lang w:eastAsia="lt-LT"/>
              </w:rPr>
              <w:t xml:space="preserve"> vaikų</w:t>
            </w:r>
            <w:r w:rsidRPr="00F84C1B">
              <w:rPr>
                <w:sz w:val="20"/>
                <w:lang w:eastAsia="lt-LT"/>
              </w:rPr>
              <w:t xml:space="preserve"> amžiaus ikimokyklinio ugdymo, </w:t>
            </w:r>
            <w:r w:rsidR="003D0897">
              <w:rPr>
                <w:sz w:val="20"/>
                <w:lang w:eastAsia="lt-LT"/>
              </w:rPr>
              <w:t xml:space="preserve">7 </w:t>
            </w:r>
            <w:r w:rsidRPr="00F84C1B">
              <w:rPr>
                <w:sz w:val="20"/>
                <w:lang w:eastAsia="lt-LT"/>
              </w:rPr>
              <w:t xml:space="preserve">mišraus </w:t>
            </w:r>
            <w:r w:rsidR="00667845">
              <w:rPr>
                <w:sz w:val="20"/>
                <w:lang w:eastAsia="lt-LT"/>
              </w:rPr>
              <w:t xml:space="preserve">vaikų </w:t>
            </w:r>
            <w:r w:rsidRPr="00F84C1B">
              <w:rPr>
                <w:sz w:val="20"/>
                <w:lang w:eastAsia="lt-LT"/>
              </w:rPr>
              <w:t>amžiaus ikimokyklinio ugdymo, 1 specialiojo  ugdymo grupė, kuri atlieka</w:t>
            </w:r>
            <w:r w:rsidR="0023585C" w:rsidRPr="00F84C1B">
              <w:rPr>
                <w:sz w:val="20"/>
                <w:lang w:eastAsia="lt-LT"/>
              </w:rPr>
              <w:t xml:space="preserve"> budinčios grupės funkciją.</w:t>
            </w:r>
            <w:r w:rsidRPr="00F84C1B">
              <w:rPr>
                <w:sz w:val="20"/>
                <w:lang w:eastAsia="lt-LT"/>
              </w:rPr>
              <w:t xml:space="preserve"> Per 202</w:t>
            </w:r>
            <w:r w:rsidR="00D3565F">
              <w:rPr>
                <w:sz w:val="20"/>
                <w:lang w:eastAsia="lt-LT"/>
              </w:rPr>
              <w:t>2</w:t>
            </w:r>
            <w:r w:rsidRPr="00F84C1B">
              <w:rPr>
                <w:sz w:val="20"/>
                <w:lang w:eastAsia="lt-LT"/>
              </w:rPr>
              <w:t xml:space="preserve"> m. sudarėme </w:t>
            </w:r>
            <w:r w:rsidR="00DC327E" w:rsidRPr="00F84C1B">
              <w:rPr>
                <w:sz w:val="20"/>
                <w:lang w:eastAsia="lt-LT"/>
              </w:rPr>
              <w:t>4</w:t>
            </w:r>
            <w:r w:rsidR="00790EFF">
              <w:rPr>
                <w:sz w:val="20"/>
                <w:lang w:eastAsia="lt-LT"/>
              </w:rPr>
              <w:t>7</w:t>
            </w:r>
            <w:r w:rsidRPr="00F84C1B">
              <w:rPr>
                <w:sz w:val="20"/>
                <w:lang w:eastAsia="lt-LT"/>
              </w:rPr>
              <w:t xml:space="preserve"> ikimokyklinio ir </w:t>
            </w:r>
            <w:r w:rsidR="00D3565F">
              <w:rPr>
                <w:sz w:val="20"/>
                <w:lang w:eastAsia="lt-LT"/>
              </w:rPr>
              <w:t>5</w:t>
            </w:r>
            <w:r w:rsidRPr="00F84C1B">
              <w:rPr>
                <w:sz w:val="20"/>
                <w:lang w:eastAsia="lt-LT"/>
              </w:rPr>
              <w:t xml:space="preserve"> priešmokyklinio ugdymo sutartis</w:t>
            </w:r>
            <w:r w:rsidR="00DC327E" w:rsidRPr="00F84C1B">
              <w:rPr>
                <w:sz w:val="20"/>
                <w:lang w:eastAsia="lt-LT"/>
              </w:rPr>
              <w:t xml:space="preserve">. </w:t>
            </w:r>
            <w:r w:rsidRPr="00F84C1B">
              <w:rPr>
                <w:sz w:val="20"/>
                <w:lang w:eastAsia="lt-LT"/>
              </w:rPr>
              <w:t xml:space="preserve"> </w:t>
            </w:r>
            <w:r w:rsidR="00E363BF">
              <w:rPr>
                <w:sz w:val="20"/>
                <w:lang w:eastAsia="lt-LT"/>
              </w:rPr>
              <w:t xml:space="preserve">Vykdėme </w:t>
            </w:r>
            <w:proofErr w:type="spellStart"/>
            <w:r w:rsidR="00E363BF">
              <w:rPr>
                <w:sz w:val="20"/>
                <w:lang w:eastAsia="lt-LT"/>
              </w:rPr>
              <w:t>įtraukųjį</w:t>
            </w:r>
            <w:proofErr w:type="spellEnd"/>
            <w:r w:rsidR="00E363BF">
              <w:rPr>
                <w:sz w:val="20"/>
                <w:lang w:eastAsia="lt-LT"/>
              </w:rPr>
              <w:t xml:space="preserve"> ugdymą s</w:t>
            </w:r>
            <w:r w:rsidR="00906DB2">
              <w:rPr>
                <w:sz w:val="20"/>
                <w:lang w:eastAsia="lt-LT"/>
              </w:rPr>
              <w:t>iekiant užtikrinti vaikų, turinčių įvairių poreikių pažangą ir gerinant ugdymo pasiekimus</w:t>
            </w:r>
            <w:r w:rsidR="00E363BF">
              <w:rPr>
                <w:sz w:val="20"/>
                <w:lang w:eastAsia="lt-LT"/>
              </w:rPr>
              <w:t>.</w:t>
            </w:r>
          </w:p>
          <w:p w14:paraId="7EA6CF35" w14:textId="505954F6" w:rsidR="00AE46A6" w:rsidRDefault="0023585C" w:rsidP="0022058A">
            <w:pPr>
              <w:overflowPunct w:val="0"/>
              <w:spacing w:line="276" w:lineRule="auto"/>
              <w:jc w:val="both"/>
              <w:textAlignment w:val="baseline"/>
              <w:rPr>
                <w:sz w:val="20"/>
                <w:lang w:eastAsia="lt-LT"/>
              </w:rPr>
            </w:pPr>
            <w:r w:rsidRPr="00F84C1B">
              <w:rPr>
                <w:sz w:val="20"/>
                <w:lang w:eastAsia="lt-LT"/>
              </w:rPr>
              <w:t xml:space="preserve">             </w:t>
            </w:r>
            <w:r w:rsidR="001518A8" w:rsidRPr="00F84C1B">
              <w:rPr>
                <w:sz w:val="20"/>
                <w:lang w:eastAsia="lt-LT"/>
              </w:rPr>
              <w:t xml:space="preserve">Veikla </w:t>
            </w:r>
            <w:r w:rsidR="00B51B86">
              <w:rPr>
                <w:sz w:val="20"/>
                <w:lang w:eastAsia="lt-LT"/>
              </w:rPr>
              <w:t>bu</w:t>
            </w:r>
            <w:r w:rsidR="001518A8" w:rsidRPr="00F84C1B">
              <w:rPr>
                <w:sz w:val="20"/>
                <w:lang w:eastAsia="lt-LT"/>
              </w:rPr>
              <w:t>vo vykdoma pagal parengtą 20</w:t>
            </w:r>
            <w:r w:rsidR="00E363BF">
              <w:rPr>
                <w:sz w:val="20"/>
                <w:lang w:eastAsia="lt-LT"/>
              </w:rPr>
              <w:t>22</w:t>
            </w:r>
            <w:r w:rsidR="001518A8" w:rsidRPr="00F84C1B">
              <w:rPr>
                <w:sz w:val="20"/>
                <w:lang w:eastAsia="lt-LT"/>
              </w:rPr>
              <w:t>-202</w:t>
            </w:r>
            <w:r w:rsidR="00E363BF">
              <w:rPr>
                <w:sz w:val="20"/>
                <w:lang w:eastAsia="lt-LT"/>
              </w:rPr>
              <w:t>4</w:t>
            </w:r>
            <w:r w:rsidR="001518A8" w:rsidRPr="00F84C1B">
              <w:rPr>
                <w:sz w:val="20"/>
                <w:lang w:eastAsia="lt-LT"/>
              </w:rPr>
              <w:t xml:space="preserve"> m. strateginį ir metinį </w:t>
            </w:r>
            <w:r w:rsidR="001D6097" w:rsidRPr="00F84C1B">
              <w:rPr>
                <w:sz w:val="20"/>
                <w:lang w:eastAsia="lt-LT"/>
              </w:rPr>
              <w:t>202</w:t>
            </w:r>
            <w:r w:rsidR="00E363BF">
              <w:rPr>
                <w:sz w:val="20"/>
                <w:lang w:eastAsia="lt-LT"/>
              </w:rPr>
              <w:t>1</w:t>
            </w:r>
            <w:r w:rsidR="001D6097" w:rsidRPr="00F84C1B">
              <w:rPr>
                <w:sz w:val="20"/>
                <w:lang w:eastAsia="lt-LT"/>
              </w:rPr>
              <w:t>-202</w:t>
            </w:r>
            <w:r w:rsidR="00E363BF">
              <w:rPr>
                <w:sz w:val="20"/>
                <w:lang w:eastAsia="lt-LT"/>
              </w:rPr>
              <w:t>2</w:t>
            </w:r>
            <w:r w:rsidR="001D6097" w:rsidRPr="00F84C1B">
              <w:rPr>
                <w:sz w:val="20"/>
                <w:lang w:eastAsia="lt-LT"/>
              </w:rPr>
              <w:t xml:space="preserve"> m. m. </w:t>
            </w:r>
            <w:r w:rsidR="001518A8" w:rsidRPr="00F84C1B">
              <w:rPr>
                <w:sz w:val="20"/>
                <w:lang w:eastAsia="lt-LT"/>
              </w:rPr>
              <w:t>veiklos planus</w:t>
            </w:r>
            <w:r w:rsidR="00217D10">
              <w:rPr>
                <w:sz w:val="20"/>
                <w:lang w:eastAsia="lt-LT"/>
              </w:rPr>
              <w:t>, kur buvo numatytos įvairios veiklos keliamiems tikslams įgyvendinti.</w:t>
            </w:r>
            <w:r w:rsidR="003D0897">
              <w:rPr>
                <w:sz w:val="20"/>
                <w:lang w:eastAsia="lt-LT"/>
              </w:rPr>
              <w:t xml:space="preserve"> Pirmasis tikslas: </w:t>
            </w:r>
            <w:r w:rsidR="003D0897" w:rsidRPr="003D0897">
              <w:rPr>
                <w:b/>
                <w:bCs/>
                <w:sz w:val="20"/>
                <w:lang w:eastAsia="lt-LT"/>
              </w:rPr>
              <w:t>ugdymo turinio modeliavimas,</w:t>
            </w:r>
            <w:r w:rsidR="003D0897">
              <w:rPr>
                <w:sz w:val="20"/>
                <w:lang w:eastAsia="lt-LT"/>
              </w:rPr>
              <w:t xml:space="preserve"> </w:t>
            </w:r>
            <w:r w:rsidR="003D0897" w:rsidRPr="003D0897">
              <w:rPr>
                <w:b/>
                <w:bCs/>
                <w:sz w:val="20"/>
                <w:lang w:eastAsia="lt-LT"/>
              </w:rPr>
              <w:t xml:space="preserve">orientuojantis į šiuolaikišką visuminį patirtinį ugdymą. </w:t>
            </w:r>
            <w:r w:rsidR="00217D10" w:rsidRPr="003D0897">
              <w:rPr>
                <w:b/>
                <w:bCs/>
                <w:sz w:val="20"/>
                <w:lang w:eastAsia="lt-LT"/>
              </w:rPr>
              <w:t xml:space="preserve"> </w:t>
            </w:r>
            <w:r w:rsidR="003D0897" w:rsidRPr="003D0897">
              <w:rPr>
                <w:sz w:val="20"/>
                <w:lang w:eastAsia="lt-LT"/>
              </w:rPr>
              <w:t xml:space="preserve">Siekiant įgyvendinti šį tikslą </w:t>
            </w:r>
            <w:r w:rsidR="003D0897">
              <w:rPr>
                <w:sz w:val="20"/>
                <w:lang w:eastAsia="lt-LT"/>
              </w:rPr>
              <w:t>buvo sudarytos sąlygos kelti profesines kompetencijas bei pagilinti profesines žinias apie šiuolaikinio ugdymo tendencijas, nuolat to</w:t>
            </w:r>
            <w:r w:rsidR="00DE53B6">
              <w:rPr>
                <w:sz w:val="20"/>
                <w:lang w:eastAsia="lt-LT"/>
              </w:rPr>
              <w:t>bulinti savo kvalifikaciją, plėtoti pedagogų bendravimo ir bendradarbiavimo kompetencijas. Organizuot</w:t>
            </w:r>
            <w:r w:rsidR="00880899">
              <w:rPr>
                <w:sz w:val="20"/>
                <w:lang w:eastAsia="lt-LT"/>
              </w:rPr>
              <w:t>i</w:t>
            </w:r>
            <w:r w:rsidR="00DE53B6">
              <w:rPr>
                <w:sz w:val="20"/>
                <w:lang w:eastAsia="lt-LT"/>
              </w:rPr>
              <w:t xml:space="preserve"> seminara</w:t>
            </w:r>
            <w:r w:rsidR="00880899">
              <w:rPr>
                <w:sz w:val="20"/>
                <w:lang w:eastAsia="lt-LT"/>
              </w:rPr>
              <w:t>i</w:t>
            </w:r>
            <w:r w:rsidR="00DE53B6">
              <w:rPr>
                <w:sz w:val="20"/>
                <w:lang w:eastAsia="lt-LT"/>
              </w:rPr>
              <w:t xml:space="preserve"> įstaigos pedagogams</w:t>
            </w:r>
            <w:r w:rsidR="00880899">
              <w:rPr>
                <w:sz w:val="20"/>
                <w:lang w:eastAsia="lt-LT"/>
              </w:rPr>
              <w:t xml:space="preserve"> ir aptarnaujančiam personalui:</w:t>
            </w:r>
            <w:r w:rsidR="00DE53B6">
              <w:rPr>
                <w:sz w:val="20"/>
                <w:lang w:eastAsia="lt-LT"/>
              </w:rPr>
              <w:t xml:space="preserve"> „STEAM planavimas“, „Vaikų ugdymo </w:t>
            </w:r>
            <w:r w:rsidR="009D68A7">
              <w:rPr>
                <w:sz w:val="20"/>
                <w:lang w:eastAsia="lt-LT"/>
              </w:rPr>
              <w:t xml:space="preserve">galimybės ankstyvajame amžiuje“,  </w:t>
            </w:r>
            <w:r w:rsidR="00880899">
              <w:rPr>
                <w:sz w:val="20"/>
                <w:lang w:eastAsia="lt-LT"/>
              </w:rPr>
              <w:t xml:space="preserve">„Pasirengimas </w:t>
            </w:r>
            <w:proofErr w:type="spellStart"/>
            <w:r w:rsidR="00880899">
              <w:rPr>
                <w:sz w:val="20"/>
                <w:lang w:eastAsia="lt-LT"/>
              </w:rPr>
              <w:t>įtraukiąjam</w:t>
            </w:r>
            <w:proofErr w:type="spellEnd"/>
            <w:r w:rsidR="00880899">
              <w:rPr>
                <w:sz w:val="20"/>
                <w:lang w:eastAsia="lt-LT"/>
              </w:rPr>
              <w:t xml:space="preserve"> ugdymui“, „Penkios meilės kalbos ir drausmė“,</w:t>
            </w:r>
            <w:r w:rsidR="00E62961">
              <w:rPr>
                <w:sz w:val="20"/>
                <w:lang w:eastAsia="lt-LT"/>
              </w:rPr>
              <w:t xml:space="preserve"> „</w:t>
            </w:r>
            <w:r w:rsidR="00880899">
              <w:rPr>
                <w:sz w:val="20"/>
                <w:lang w:eastAsia="lt-LT"/>
              </w:rPr>
              <w:t xml:space="preserve"> Auklėtojų padėjėjų vaidmuo kuriant</w:t>
            </w:r>
            <w:r w:rsidR="00E62961">
              <w:rPr>
                <w:sz w:val="20"/>
                <w:lang w:eastAsia="lt-LT"/>
              </w:rPr>
              <w:t xml:space="preserve"> emociškai palankią ir ugdymui vertingą aplinką ikimokyklinio ugdymo įstaigose“. </w:t>
            </w:r>
          </w:p>
          <w:p w14:paraId="570561E6" w14:textId="180D22C1" w:rsidR="00E62961" w:rsidRPr="003D0897" w:rsidRDefault="00E62961" w:rsidP="0022058A">
            <w:pPr>
              <w:overflowPunct w:val="0"/>
              <w:spacing w:line="276" w:lineRule="auto"/>
              <w:jc w:val="both"/>
              <w:textAlignment w:val="baseline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             Siekiant nuolatinio tobulėjimo buvo reflektuojama vaikų ugdymo(</w:t>
            </w:r>
            <w:proofErr w:type="spellStart"/>
            <w:r>
              <w:rPr>
                <w:sz w:val="20"/>
                <w:lang w:eastAsia="lt-LT"/>
              </w:rPr>
              <w:t>si</w:t>
            </w:r>
            <w:proofErr w:type="spellEnd"/>
            <w:r>
              <w:rPr>
                <w:sz w:val="20"/>
                <w:lang w:eastAsia="lt-LT"/>
              </w:rPr>
              <w:t>) kokybės klausimais, numatomi tolimesni ugdymo(</w:t>
            </w:r>
            <w:proofErr w:type="spellStart"/>
            <w:r>
              <w:rPr>
                <w:sz w:val="20"/>
                <w:lang w:eastAsia="lt-LT"/>
              </w:rPr>
              <w:t>si</w:t>
            </w:r>
            <w:proofErr w:type="spellEnd"/>
            <w:r>
              <w:rPr>
                <w:sz w:val="20"/>
                <w:lang w:eastAsia="lt-LT"/>
              </w:rPr>
              <w:t>) kokybės uždaviniai. Pravestas metodinis posėdis „Mąstymo žemėlapių taikymas ugdymo procese“</w:t>
            </w:r>
            <w:r w:rsidR="00DA7113">
              <w:rPr>
                <w:sz w:val="20"/>
                <w:lang w:eastAsia="lt-LT"/>
              </w:rPr>
              <w:t xml:space="preserve">, kurio metu buvo vykdoma metodinės praktikos veiklos sklaida, aktyviai dalijamasi pedagogine praktine patirtimi įstaigoje. </w:t>
            </w:r>
            <w:r w:rsidR="007B2362">
              <w:rPr>
                <w:sz w:val="20"/>
                <w:lang w:eastAsia="lt-LT"/>
              </w:rPr>
              <w:t>Siekiant tenkinti ugdytinių saviraiškos poreikius, plečiant bendradarbiavimo su šeima galimybes</w:t>
            </w:r>
            <w:r w:rsidR="00F11B20">
              <w:rPr>
                <w:sz w:val="20"/>
                <w:lang w:eastAsia="lt-LT"/>
              </w:rPr>
              <w:t>,</w:t>
            </w:r>
            <w:r w:rsidR="007B2362">
              <w:rPr>
                <w:sz w:val="20"/>
                <w:lang w:eastAsia="lt-LT"/>
              </w:rPr>
              <w:t xml:space="preserve"> pravesti integruoti teminiai renginiai, grupių edukaciniai projektai pagal  grupių metinius veiklos planus</w:t>
            </w:r>
            <w:r w:rsidR="0044553B">
              <w:rPr>
                <w:sz w:val="20"/>
                <w:lang w:eastAsia="lt-LT"/>
              </w:rPr>
              <w:t xml:space="preserve">. Tradiciniai ir šventiniai  renginiai: „Mano gimtinė- Lietuva“, </w:t>
            </w:r>
            <w:r w:rsidR="007B2362">
              <w:rPr>
                <w:sz w:val="20"/>
                <w:lang w:eastAsia="lt-LT"/>
              </w:rPr>
              <w:t xml:space="preserve"> </w:t>
            </w:r>
            <w:r w:rsidR="0044553B">
              <w:rPr>
                <w:sz w:val="20"/>
                <w:lang w:eastAsia="lt-LT"/>
              </w:rPr>
              <w:t>„Vanduo-gyvybės šaltinis“, „Žaislai iš antrinių žaliavų“, „Vasarėlę</w:t>
            </w:r>
            <w:r w:rsidR="00B51898">
              <w:rPr>
                <w:sz w:val="20"/>
                <w:lang w:eastAsia="lt-LT"/>
              </w:rPr>
              <w:t xml:space="preserve"> pasitinkant“ ir kt. </w:t>
            </w:r>
            <w:r w:rsidR="0044553B">
              <w:rPr>
                <w:sz w:val="20"/>
                <w:lang w:eastAsia="lt-LT"/>
              </w:rPr>
              <w:t xml:space="preserve">.  </w:t>
            </w:r>
          </w:p>
          <w:p w14:paraId="48ED66D8" w14:textId="4D3594B3" w:rsidR="0012306C" w:rsidRPr="00DA7113" w:rsidRDefault="00DA7113" w:rsidP="00B51B86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</w:t>
            </w:r>
            <w:r w:rsidRPr="00DA7113">
              <w:rPr>
                <w:sz w:val="20"/>
              </w:rPr>
              <w:t xml:space="preserve">Lopšelio-darželio bendruomenė dalijosi gerąja praktine-metodine patirtimi respublikoje: Lietuvos  ikimokyklinio ugdymo mokytojų asociacijoje „Sveikatos </w:t>
            </w:r>
            <w:proofErr w:type="spellStart"/>
            <w:r>
              <w:rPr>
                <w:sz w:val="20"/>
              </w:rPr>
              <w:t>ž</w:t>
            </w:r>
            <w:r w:rsidRPr="00DA7113">
              <w:rPr>
                <w:sz w:val="20"/>
              </w:rPr>
              <w:t>elmenėliai</w:t>
            </w:r>
            <w:proofErr w:type="spellEnd"/>
            <w:r w:rsidRPr="00DA7113">
              <w:rPr>
                <w:sz w:val="20"/>
              </w:rPr>
              <w:t>“</w:t>
            </w:r>
            <w:r w:rsidR="00950FFC">
              <w:rPr>
                <w:sz w:val="20"/>
              </w:rPr>
              <w:t>. I</w:t>
            </w:r>
            <w:r w:rsidR="00B51898">
              <w:rPr>
                <w:sz w:val="20"/>
              </w:rPr>
              <w:t xml:space="preserve">kimokyklinio ugdymo mokytoja </w:t>
            </w:r>
            <w:r>
              <w:rPr>
                <w:sz w:val="20"/>
              </w:rPr>
              <w:t>skaitė pranešimą tema</w:t>
            </w:r>
            <w:r w:rsidR="00663D39">
              <w:rPr>
                <w:sz w:val="20"/>
              </w:rPr>
              <w:t xml:space="preserve"> „Socialinio emocinio intelekto ugdymas darželyje“</w:t>
            </w:r>
            <w:r w:rsidR="00950FFC">
              <w:rPr>
                <w:sz w:val="20"/>
              </w:rPr>
              <w:t>. O</w:t>
            </w:r>
            <w:r w:rsidR="00663D39">
              <w:rPr>
                <w:sz w:val="20"/>
              </w:rPr>
              <w:t>rganizavome meninį-kūrybinį projektą respublikos ikimokyklinio ir priešmokyklinio ugdymo įstaigoms „Skriski, skriski Lietuvėlėn“.</w:t>
            </w:r>
            <w:r>
              <w:rPr>
                <w:sz w:val="20"/>
              </w:rPr>
              <w:t xml:space="preserve"> </w:t>
            </w:r>
            <w:r w:rsidR="003B21B1">
              <w:rPr>
                <w:sz w:val="20"/>
              </w:rPr>
              <w:t>Mokytojai su ugdytiniais dalyvavo</w:t>
            </w:r>
            <w:r w:rsidR="00771F36">
              <w:rPr>
                <w:sz w:val="20"/>
              </w:rPr>
              <w:t xml:space="preserve"> kūrybiniuose-meniniuose </w:t>
            </w:r>
            <w:r w:rsidR="003B21B1">
              <w:rPr>
                <w:sz w:val="20"/>
              </w:rPr>
              <w:t xml:space="preserve"> konkursuose </w:t>
            </w:r>
            <w:r w:rsidR="00771F36">
              <w:rPr>
                <w:sz w:val="20"/>
              </w:rPr>
              <w:t xml:space="preserve">„Nupiešiu dainą Lietuvai“, „Muzika ir spalvos“, „Padovanok gėlytę savo mamai“, „STEAM visus metus“, „Aš žemės vaikas“ ir kt. </w:t>
            </w:r>
          </w:p>
          <w:p w14:paraId="732BA565" w14:textId="7ECAA05C" w:rsidR="003C03B8" w:rsidRDefault="00A072E8" w:rsidP="00217D10">
            <w:pPr>
              <w:overflowPunct w:val="0"/>
              <w:spacing w:line="276" w:lineRule="auto"/>
              <w:jc w:val="both"/>
              <w:textAlignment w:val="baseline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             </w:t>
            </w:r>
            <w:r w:rsidR="00663D39">
              <w:rPr>
                <w:sz w:val="20"/>
                <w:lang w:eastAsia="lt-LT"/>
              </w:rPr>
              <w:t xml:space="preserve">Ikimokyklinio ugdymo mokytojai ir specialistai dalyvavo rajono ikimokyklinio ugdymo mokytojų metodinėse dienose. </w:t>
            </w:r>
            <w:r w:rsidR="003B21B1">
              <w:rPr>
                <w:sz w:val="20"/>
                <w:lang w:eastAsia="lt-LT"/>
              </w:rPr>
              <w:t xml:space="preserve">Skaitė </w:t>
            </w:r>
            <w:r w:rsidR="00663D39">
              <w:rPr>
                <w:sz w:val="20"/>
                <w:lang w:eastAsia="lt-LT"/>
              </w:rPr>
              <w:t xml:space="preserve">3 </w:t>
            </w:r>
            <w:r w:rsidR="003B21B1">
              <w:rPr>
                <w:sz w:val="20"/>
                <w:lang w:eastAsia="lt-LT"/>
              </w:rPr>
              <w:t xml:space="preserve">metodinius pranešimus aktualiomis temomis. </w:t>
            </w:r>
            <w:r w:rsidR="00771F36">
              <w:rPr>
                <w:sz w:val="20"/>
                <w:lang w:eastAsia="lt-LT"/>
              </w:rPr>
              <w:t xml:space="preserve">Su ugdytiniais </w:t>
            </w:r>
            <w:r w:rsidR="00B51898">
              <w:rPr>
                <w:sz w:val="20"/>
                <w:lang w:eastAsia="lt-LT"/>
              </w:rPr>
              <w:t>dalyvavo</w:t>
            </w:r>
            <w:r w:rsidR="00771F36">
              <w:rPr>
                <w:sz w:val="20"/>
                <w:lang w:eastAsia="lt-LT"/>
              </w:rPr>
              <w:t xml:space="preserve"> tradiciniuose renginiuose, tai piešinių konkurs</w:t>
            </w:r>
            <w:r w:rsidR="00F11B20">
              <w:rPr>
                <w:sz w:val="20"/>
                <w:lang w:eastAsia="lt-LT"/>
              </w:rPr>
              <w:t>uose</w:t>
            </w:r>
            <w:r w:rsidR="00771F36">
              <w:rPr>
                <w:sz w:val="20"/>
                <w:lang w:eastAsia="lt-LT"/>
              </w:rPr>
              <w:t xml:space="preserve"> skirtuose Mamos ir Tėvo dienai, ekologiniame konkurse „Žalioji palangė“. </w:t>
            </w:r>
          </w:p>
          <w:p w14:paraId="3E8C938D" w14:textId="4375E3A5" w:rsidR="003B21B1" w:rsidRDefault="003B21B1" w:rsidP="00217D10">
            <w:pPr>
              <w:overflowPunct w:val="0"/>
              <w:spacing w:line="276" w:lineRule="auto"/>
              <w:jc w:val="both"/>
              <w:textAlignment w:val="baseline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 xml:space="preserve">             Meninio ugdymo mokytoja įsijungė į tarptautinius </w:t>
            </w:r>
            <w:proofErr w:type="spellStart"/>
            <w:r>
              <w:rPr>
                <w:sz w:val="20"/>
                <w:lang w:eastAsia="lt-LT"/>
              </w:rPr>
              <w:t>eTwinning</w:t>
            </w:r>
            <w:proofErr w:type="spellEnd"/>
            <w:r>
              <w:rPr>
                <w:sz w:val="20"/>
                <w:lang w:eastAsia="lt-LT"/>
              </w:rPr>
              <w:t xml:space="preserve"> projektus: „Emocijų paletė“, „Kaip užauginti draugystę“, „Lietuvių liaudies žaidimų įvairovė“. </w:t>
            </w:r>
          </w:p>
          <w:p w14:paraId="1CAAFC19" w14:textId="35A56B1C" w:rsidR="004F4EC9" w:rsidRDefault="004F4EC9" w:rsidP="00217D10">
            <w:pPr>
              <w:overflowPunct w:val="0"/>
              <w:spacing w:line="276" w:lineRule="auto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            Siekiant įgyvendinti antrąjį tikslą - </w:t>
            </w:r>
            <w:r w:rsidRPr="004F4EC9">
              <w:rPr>
                <w:b/>
                <w:bCs/>
                <w:sz w:val="20"/>
              </w:rPr>
              <w:t>„Saugios, patrauklios ir funkci</w:t>
            </w:r>
            <w:r>
              <w:rPr>
                <w:b/>
                <w:bCs/>
                <w:sz w:val="20"/>
              </w:rPr>
              <w:t>on</w:t>
            </w:r>
            <w:r w:rsidRPr="004F4EC9">
              <w:rPr>
                <w:b/>
                <w:bCs/>
                <w:sz w:val="20"/>
              </w:rPr>
              <w:t>alios aplinkos kūrimas</w:t>
            </w:r>
            <w:r>
              <w:rPr>
                <w:sz w:val="20"/>
              </w:rPr>
              <w:t xml:space="preserve">“ buvo parengtas ir integruotas į ugdymą </w:t>
            </w:r>
            <w:r w:rsidR="006062AC">
              <w:rPr>
                <w:sz w:val="20"/>
              </w:rPr>
              <w:t>Sveikos ir saugios gyvensenos planas, dalyvaujama respublikinio „</w:t>
            </w:r>
            <w:proofErr w:type="spellStart"/>
            <w:r w:rsidR="006062AC">
              <w:rPr>
                <w:sz w:val="20"/>
              </w:rPr>
              <w:t>Sveikatiada</w:t>
            </w:r>
            <w:proofErr w:type="spellEnd"/>
            <w:r w:rsidR="006062AC">
              <w:rPr>
                <w:sz w:val="20"/>
              </w:rPr>
              <w:t xml:space="preserve">“ projekto, asociacijos „Sveikatos </w:t>
            </w:r>
            <w:proofErr w:type="spellStart"/>
            <w:r w:rsidR="006062AC">
              <w:rPr>
                <w:sz w:val="20"/>
              </w:rPr>
              <w:t>želmenėliai</w:t>
            </w:r>
            <w:proofErr w:type="spellEnd"/>
            <w:r w:rsidR="006062AC">
              <w:rPr>
                <w:sz w:val="20"/>
              </w:rPr>
              <w:t xml:space="preserve">“ veiklose, skatinami sveikos mitybos įpročiai dalyvaujant Europos vaisių ir pieno produktų vartojimo programose: „Pienas vaikams“, „Vaisių vartojimo skatinimas mokyklose“. Inicijuotos bendros sveikatingumo veiklos su rajono Visuomenės sveikatos biuru. </w:t>
            </w:r>
            <w:r w:rsidR="00A43D6A">
              <w:rPr>
                <w:sz w:val="20"/>
              </w:rPr>
              <w:t xml:space="preserve">Parengti 8 stendiniai pranešimai vaikų sveikatos saugojimo ir stiprinimo temomis. </w:t>
            </w:r>
          </w:p>
          <w:p w14:paraId="260AD270" w14:textId="1ADAF484" w:rsidR="00126443" w:rsidRDefault="00126443" w:rsidP="00217D10">
            <w:pPr>
              <w:overflowPunct w:val="0"/>
              <w:spacing w:line="276" w:lineRule="auto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            Plėtojamas e-dienyno „Mūsų darželis“ naudojimas. </w:t>
            </w:r>
          </w:p>
          <w:p w14:paraId="7F7E64EF" w14:textId="77777777" w:rsidR="00F11B20" w:rsidRDefault="00A43D6A" w:rsidP="002329DA">
            <w:pPr>
              <w:overflowPunct w:val="0"/>
              <w:spacing w:line="276" w:lineRule="auto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A93ECA">
              <w:rPr>
                <w:sz w:val="20"/>
                <w:lang w:eastAsia="lt-LT"/>
              </w:rPr>
              <w:t>Dalyvavome</w:t>
            </w:r>
            <w:r w:rsidR="00E4644D">
              <w:rPr>
                <w:szCs w:val="24"/>
              </w:rPr>
              <w:t xml:space="preserve">  </w:t>
            </w:r>
            <w:r w:rsidR="00E4644D" w:rsidRPr="00E4644D">
              <w:rPr>
                <w:sz w:val="20"/>
              </w:rPr>
              <w:t>rajono švietimo įstaigų Erasmus+ KA1 projekte „Mokymuisi palanki aplinka – nuo poreikio link poveikio“, kurio tikslas sukurti ugdymuisi palankią emocinę aplinką (202</w:t>
            </w:r>
            <w:r w:rsidR="00DE53B6">
              <w:rPr>
                <w:sz w:val="20"/>
              </w:rPr>
              <w:t>1</w:t>
            </w:r>
            <w:r w:rsidR="00E4644D" w:rsidRPr="00E4644D">
              <w:rPr>
                <w:sz w:val="20"/>
              </w:rPr>
              <w:t>-202</w:t>
            </w:r>
            <w:r w:rsidR="00DE53B6">
              <w:rPr>
                <w:sz w:val="20"/>
              </w:rPr>
              <w:t>2</w:t>
            </w:r>
            <w:r w:rsidR="00E4644D" w:rsidRPr="00E4644D">
              <w:rPr>
                <w:sz w:val="20"/>
              </w:rPr>
              <w:t xml:space="preserve"> m.</w:t>
            </w:r>
            <w:r w:rsidR="00E4644D">
              <w:rPr>
                <w:sz w:val="20"/>
              </w:rPr>
              <w:t xml:space="preserve"> </w:t>
            </w:r>
            <w:r w:rsidR="00E4644D" w:rsidRPr="00E4644D">
              <w:rPr>
                <w:sz w:val="20"/>
              </w:rPr>
              <w:t>m.). Įgyvendinant projektą buvo susitarta dėl bendros krypties, atlikta anketinė apklausa „Emociškai tvarių santykių tarp mokyklos bendruomenės kūrimas/Patyčių eliminavimas iš mokyklos“, skatinama lyderystė, rengiamas veiklos planas.</w:t>
            </w:r>
            <w:r w:rsidR="00F11B20">
              <w:rPr>
                <w:sz w:val="20"/>
              </w:rPr>
              <w:t xml:space="preserve"> Veiklos planas pristatytas rajono pedagogams. </w:t>
            </w:r>
          </w:p>
          <w:p w14:paraId="7BFDF533" w14:textId="520A51E1" w:rsidR="00E4644D" w:rsidRDefault="00F11B20" w:rsidP="002329DA">
            <w:pPr>
              <w:overflowPunct w:val="0"/>
              <w:spacing w:line="276" w:lineRule="auto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DE53B6">
              <w:rPr>
                <w:sz w:val="20"/>
              </w:rPr>
              <w:t>Įgyvendintos socialinio-emocinio ugdymo programos „Dramblys“ veiklos. Į ugdymą integruota socialinio</w:t>
            </w:r>
            <w:r w:rsidR="009D68A7">
              <w:rPr>
                <w:sz w:val="20"/>
              </w:rPr>
              <w:t xml:space="preserve"> - </w:t>
            </w:r>
            <w:r w:rsidR="00DE53B6">
              <w:rPr>
                <w:sz w:val="20"/>
              </w:rPr>
              <w:t>emocinio ugdymo prog</w:t>
            </w:r>
            <w:r w:rsidR="009D68A7">
              <w:rPr>
                <w:sz w:val="20"/>
              </w:rPr>
              <w:t>rama „</w:t>
            </w:r>
            <w:proofErr w:type="spellStart"/>
            <w:r w:rsidR="009D68A7">
              <w:rPr>
                <w:sz w:val="20"/>
              </w:rPr>
              <w:t>Kimochi</w:t>
            </w:r>
            <w:proofErr w:type="spellEnd"/>
            <w:r w:rsidR="009D68A7">
              <w:rPr>
                <w:sz w:val="20"/>
              </w:rPr>
              <w:t>“. Šios grupės mokytoja su ugdytiniais dalyvavo tarptautiniame švietimo bendruomenių emocinės raiškos „Jie mieli ir  skirtingi, bet ne visuomet laimingi“ projekte</w:t>
            </w:r>
            <w:r w:rsidR="0061104F">
              <w:rPr>
                <w:sz w:val="20"/>
              </w:rPr>
              <w:t>.</w:t>
            </w:r>
          </w:p>
          <w:p w14:paraId="23F11655" w14:textId="70F40B9D" w:rsidR="0061104F" w:rsidRPr="00E4644D" w:rsidRDefault="0061104F" w:rsidP="002329DA">
            <w:pPr>
              <w:overflowPunct w:val="0"/>
              <w:spacing w:line="276" w:lineRule="auto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            Lopšelyje-darželyje sutelkta specialistų komanda rengia individualias ir pritaikytas programas vaikams, turintiems </w:t>
            </w:r>
            <w:r w:rsidR="00D3527F">
              <w:rPr>
                <w:sz w:val="20"/>
              </w:rPr>
              <w:t xml:space="preserve">raidos sutrikimų. </w:t>
            </w:r>
            <w:r w:rsidR="008E315A">
              <w:rPr>
                <w:sz w:val="20"/>
              </w:rPr>
              <w:t>Specialiojo ugdymo grupėje taikoma</w:t>
            </w:r>
            <w:r w:rsidR="00A8773F">
              <w:rPr>
                <w:sz w:val="20"/>
              </w:rPr>
              <w:t xml:space="preserve"> </w:t>
            </w:r>
            <w:proofErr w:type="spellStart"/>
            <w:r w:rsidR="00A8773F">
              <w:rPr>
                <w:sz w:val="20"/>
              </w:rPr>
              <w:t>augmentinės</w:t>
            </w:r>
            <w:proofErr w:type="spellEnd"/>
            <w:r w:rsidR="00A8773F">
              <w:rPr>
                <w:sz w:val="20"/>
              </w:rPr>
              <w:t xml:space="preserve">  ir alternatyvios komunikacijos </w:t>
            </w:r>
            <w:proofErr w:type="spellStart"/>
            <w:r w:rsidR="00A8773F">
              <w:rPr>
                <w:sz w:val="20"/>
              </w:rPr>
              <w:t>Pece</w:t>
            </w:r>
            <w:proofErr w:type="spellEnd"/>
            <w:r w:rsidR="00A8773F">
              <w:rPr>
                <w:sz w:val="20"/>
              </w:rPr>
              <w:t xml:space="preserve"> metodikos praktinis taikymas. </w:t>
            </w:r>
            <w:r w:rsidR="00F978EE">
              <w:rPr>
                <w:sz w:val="20"/>
              </w:rPr>
              <w:t>Įgyvendintas VGK</w:t>
            </w:r>
            <w:r w:rsidR="00126443">
              <w:rPr>
                <w:sz w:val="20"/>
              </w:rPr>
              <w:t xml:space="preserve"> </w:t>
            </w:r>
            <w:r w:rsidR="00831B92">
              <w:rPr>
                <w:sz w:val="20"/>
              </w:rPr>
              <w:t>veiklos planas. Nuolat buvo teikiamos konsultacijos tėvams, aptariamos tolimesnio ugdymo(</w:t>
            </w:r>
            <w:proofErr w:type="spellStart"/>
            <w:r w:rsidR="00831B92">
              <w:rPr>
                <w:sz w:val="20"/>
              </w:rPr>
              <w:t>si</w:t>
            </w:r>
            <w:proofErr w:type="spellEnd"/>
            <w:r w:rsidR="00831B92">
              <w:rPr>
                <w:sz w:val="20"/>
              </w:rPr>
              <w:t xml:space="preserve">) gairės ir perspektyvos. </w:t>
            </w:r>
          </w:p>
          <w:p w14:paraId="18A6E869" w14:textId="5D6E6EEF" w:rsidR="00950FFC" w:rsidRDefault="00F74A30" w:rsidP="003225AC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F84C1B">
              <w:rPr>
                <w:sz w:val="20"/>
              </w:rPr>
              <w:t xml:space="preserve">Ugdytinių pasiekimai aptarti </w:t>
            </w:r>
            <w:r w:rsidR="00C31E5F">
              <w:rPr>
                <w:sz w:val="20"/>
              </w:rPr>
              <w:t xml:space="preserve">mokytojų tarybos, vaiko Gerovės komisijos posėdžiuose, pasitarimuose, individualiuose pokalbiuose su ugdytinių tėvais. </w:t>
            </w:r>
            <w:r w:rsidR="003D2456">
              <w:rPr>
                <w:sz w:val="20"/>
              </w:rPr>
              <w:t>Ugdymo(</w:t>
            </w:r>
            <w:proofErr w:type="spellStart"/>
            <w:r w:rsidR="003D2456">
              <w:rPr>
                <w:sz w:val="20"/>
              </w:rPr>
              <w:t>si</w:t>
            </w:r>
            <w:proofErr w:type="spellEnd"/>
            <w:r w:rsidR="003D2456">
              <w:rPr>
                <w:sz w:val="20"/>
              </w:rPr>
              <w:t>) pasiekimų rezultatai naudojami vaikų pažinimui, ugdymo(</w:t>
            </w:r>
            <w:proofErr w:type="spellStart"/>
            <w:r w:rsidR="003D2456">
              <w:rPr>
                <w:sz w:val="20"/>
              </w:rPr>
              <w:t>si</w:t>
            </w:r>
            <w:proofErr w:type="spellEnd"/>
            <w:r w:rsidR="003D2456">
              <w:rPr>
                <w:sz w:val="20"/>
              </w:rPr>
              <w:t>) proceso individualizavimui, tolimesniam ugdančios veiklos planavimui</w:t>
            </w:r>
            <w:r w:rsidR="00D662B5">
              <w:rPr>
                <w:sz w:val="20"/>
              </w:rPr>
              <w:t>, rekomendacijoms šeimai ir būsimam mokytojui dėl tolimesnio sėkmingo ugdymo(</w:t>
            </w:r>
            <w:proofErr w:type="spellStart"/>
            <w:r w:rsidR="00D662B5">
              <w:rPr>
                <w:sz w:val="20"/>
              </w:rPr>
              <w:t>si</w:t>
            </w:r>
            <w:proofErr w:type="spellEnd"/>
            <w:r w:rsidR="00D662B5">
              <w:rPr>
                <w:sz w:val="20"/>
              </w:rPr>
              <w:t xml:space="preserve">) mokykloje, veiklos plano </w:t>
            </w:r>
            <w:r w:rsidR="00D55414">
              <w:rPr>
                <w:sz w:val="20"/>
              </w:rPr>
              <w:t>r</w:t>
            </w:r>
            <w:r w:rsidR="00D662B5">
              <w:rPr>
                <w:sz w:val="20"/>
              </w:rPr>
              <w:t>engimui, įstaigos veiklos įsivertinimui.</w:t>
            </w:r>
            <w:r w:rsidR="00950FFC">
              <w:rPr>
                <w:sz w:val="20"/>
              </w:rPr>
              <w:t xml:space="preserve">            </w:t>
            </w:r>
          </w:p>
          <w:p w14:paraId="44924F23" w14:textId="59818DFD" w:rsidR="00A55188" w:rsidRDefault="00950FFC" w:rsidP="006F1B25">
            <w:pPr>
              <w:overflowPunct w:val="0"/>
              <w:spacing w:line="276" w:lineRule="auto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            Sukurtos naujos funkcionalios lauko ir vidaus edukacinės aplinkos padėjo  plėsti ugdymo galimyb</w:t>
            </w:r>
            <w:r w:rsidR="00290365">
              <w:rPr>
                <w:sz w:val="20"/>
              </w:rPr>
              <w:t>e</w:t>
            </w:r>
            <w:r>
              <w:rPr>
                <w:sz w:val="20"/>
              </w:rPr>
              <w:t>s įvairiose erdvėse.</w:t>
            </w:r>
            <w:r w:rsidR="000A167B">
              <w:rPr>
                <w:sz w:val="20"/>
              </w:rPr>
              <w:t xml:space="preserve"> Atsižvelgiant į 2022-2024 m. </w:t>
            </w:r>
            <w:r w:rsidR="00290365">
              <w:rPr>
                <w:sz w:val="20"/>
              </w:rPr>
              <w:t xml:space="preserve">strateginio </w:t>
            </w:r>
            <w:r w:rsidR="000A167B">
              <w:rPr>
                <w:sz w:val="20"/>
              </w:rPr>
              <w:t>veiklos plano prioritetus pa</w:t>
            </w:r>
            <w:r>
              <w:rPr>
                <w:sz w:val="20"/>
              </w:rPr>
              <w:t>teikėme paraišką Prienų rajono savivaldybės administracijos visuomenės sveikatos specialios programos lėšoms gauti. Gautos lėšos 10 000 eurų</w:t>
            </w:r>
            <w:r w:rsidR="00290365">
              <w:rPr>
                <w:sz w:val="20"/>
              </w:rPr>
              <w:t xml:space="preserve"> padėjo turtinti aplinkas lauko žaidimų aikštyne. Buvo </w:t>
            </w:r>
            <w:r>
              <w:rPr>
                <w:sz w:val="20"/>
              </w:rPr>
              <w:t xml:space="preserve"> įrengtas labirintas</w:t>
            </w:r>
            <w:r w:rsidR="003225AC">
              <w:rPr>
                <w:sz w:val="20"/>
              </w:rPr>
              <w:t xml:space="preserve"> ir tiltukas su </w:t>
            </w:r>
            <w:proofErr w:type="spellStart"/>
            <w:r w:rsidR="003225AC">
              <w:rPr>
                <w:sz w:val="20"/>
              </w:rPr>
              <w:t>manipuliacinėm</w:t>
            </w:r>
            <w:proofErr w:type="spellEnd"/>
            <w:r w:rsidR="003225AC">
              <w:rPr>
                <w:sz w:val="20"/>
              </w:rPr>
              <w:t xml:space="preserve"> sienelėm, </w:t>
            </w:r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smėliadėžės</w:t>
            </w:r>
            <w:proofErr w:type="spellEnd"/>
            <w:r>
              <w:rPr>
                <w:sz w:val="20"/>
              </w:rPr>
              <w:t xml:space="preserve">, 3 </w:t>
            </w:r>
            <w:proofErr w:type="spellStart"/>
            <w:r>
              <w:rPr>
                <w:sz w:val="20"/>
              </w:rPr>
              <w:t>spyruokliukai</w:t>
            </w:r>
            <w:proofErr w:type="spellEnd"/>
            <w:r w:rsidR="003225AC">
              <w:rPr>
                <w:sz w:val="20"/>
              </w:rPr>
              <w:t xml:space="preserve">, </w:t>
            </w:r>
            <w:proofErr w:type="spellStart"/>
            <w:r w:rsidR="003225AC">
              <w:rPr>
                <w:sz w:val="20"/>
              </w:rPr>
              <w:t>balancinės</w:t>
            </w:r>
            <w:proofErr w:type="spellEnd"/>
            <w:r w:rsidR="003225AC">
              <w:rPr>
                <w:sz w:val="20"/>
              </w:rPr>
              <w:t xml:space="preserve"> supynės. </w:t>
            </w:r>
            <w:r w:rsidR="002329DA">
              <w:rPr>
                <w:sz w:val="20"/>
              </w:rPr>
              <w:t xml:space="preserve"> Iš valstybės biudžeto mokymosi lėšų į</w:t>
            </w:r>
            <w:r>
              <w:rPr>
                <w:sz w:val="20"/>
              </w:rPr>
              <w:t>gyta reikiamų baldų  ir ugdymosi priemonių grupėse bei sensorinio lavinimo</w:t>
            </w:r>
            <w:r w:rsidR="002329DA">
              <w:rPr>
                <w:sz w:val="20"/>
              </w:rPr>
              <w:t xml:space="preserve"> kambaryje. Lopšelio-darželio koridoriai,</w:t>
            </w:r>
            <w:r w:rsidR="007D1366">
              <w:rPr>
                <w:sz w:val="20"/>
              </w:rPr>
              <w:t xml:space="preserve"> </w:t>
            </w:r>
            <w:r w:rsidR="002329DA">
              <w:rPr>
                <w:sz w:val="20"/>
              </w:rPr>
              <w:t xml:space="preserve">laiptinės praturtintos </w:t>
            </w:r>
            <w:proofErr w:type="spellStart"/>
            <w:r w:rsidR="002329DA">
              <w:rPr>
                <w:sz w:val="20"/>
              </w:rPr>
              <w:t>multisencorinėmis</w:t>
            </w:r>
            <w:proofErr w:type="spellEnd"/>
            <w:r w:rsidR="002329DA">
              <w:rPr>
                <w:sz w:val="20"/>
              </w:rPr>
              <w:t xml:space="preserve"> priemonėmis.</w:t>
            </w:r>
            <w:r w:rsidR="000F7D84">
              <w:rPr>
                <w:sz w:val="20"/>
              </w:rPr>
              <w:t xml:space="preserve"> Bendradarbiaujant su ugdytinių tėvais įrengtos erdvės vaikų kūrybinei veiklai lauke. </w:t>
            </w:r>
            <w:r w:rsidR="007D1366">
              <w:rPr>
                <w:sz w:val="20"/>
              </w:rPr>
              <w:t xml:space="preserve"> </w:t>
            </w:r>
            <w:r w:rsidR="002329DA">
              <w:rPr>
                <w:sz w:val="20"/>
              </w:rPr>
              <w:t xml:space="preserve">Kurti funkcionalias aplinkas lieka tęstinis prioritetas. </w:t>
            </w:r>
          </w:p>
          <w:p w14:paraId="68BF159D" w14:textId="039B6F7C" w:rsidR="00842C7A" w:rsidRDefault="006F1B25" w:rsidP="006F1B25">
            <w:pPr>
              <w:overflowPunct w:val="0"/>
              <w:spacing w:line="276" w:lineRule="auto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             Lopšelio-darželio direktorius </w:t>
            </w:r>
            <w:r w:rsidR="000A167B">
              <w:rPr>
                <w:sz w:val="20"/>
              </w:rPr>
              <w:t xml:space="preserve">2021 m. pabaigoje </w:t>
            </w:r>
            <w:r>
              <w:rPr>
                <w:sz w:val="20"/>
              </w:rPr>
              <w:t>pateikė paraiškas</w:t>
            </w:r>
            <w:r w:rsidR="00F36DB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Prienų rajono savivaldybės administracijai dėl </w:t>
            </w:r>
            <w:r w:rsidR="00F36DBB">
              <w:rPr>
                <w:sz w:val="20"/>
              </w:rPr>
              <w:t>būtinų darbų finansavimo ir atlikimo. Metų eigoje buvo įrengta automobilių stovėjimo aikštelė ir gatvės perėja</w:t>
            </w:r>
            <w:r w:rsidR="00D12478">
              <w:rPr>
                <w:sz w:val="20"/>
              </w:rPr>
              <w:t xml:space="preserve"> šalia lopšelio-darželio teritorijos</w:t>
            </w:r>
            <w:r w:rsidR="00F36DBB">
              <w:rPr>
                <w:sz w:val="20"/>
              </w:rPr>
              <w:t>, pakeista tvora, kurios ilgis 398 m.</w:t>
            </w:r>
            <w:r w:rsidR="000A167B">
              <w:rPr>
                <w:sz w:val="20"/>
              </w:rPr>
              <w:t xml:space="preserve">. Toliau buvo vykdomi šaligatvių </w:t>
            </w:r>
            <w:r w:rsidR="00D12478">
              <w:rPr>
                <w:sz w:val="20"/>
              </w:rPr>
              <w:t xml:space="preserve">atnaujinimo darbai </w:t>
            </w:r>
            <w:r w:rsidR="00290365">
              <w:rPr>
                <w:sz w:val="20"/>
              </w:rPr>
              <w:t xml:space="preserve">įstaigos </w:t>
            </w:r>
            <w:r w:rsidR="000A167B">
              <w:rPr>
                <w:sz w:val="20"/>
              </w:rPr>
              <w:t xml:space="preserve">teritorijoje, pakeista 108 kv. m. </w:t>
            </w:r>
            <w:r w:rsidR="00176513">
              <w:rPr>
                <w:sz w:val="20"/>
              </w:rPr>
              <w:t>dangos</w:t>
            </w:r>
            <w:r w:rsidR="009E79F1">
              <w:rPr>
                <w:sz w:val="20"/>
              </w:rPr>
              <w:t xml:space="preserve"> trinkelėmis. Vaikų ugdymo patalpose įrengti 4 k</w:t>
            </w:r>
            <w:r w:rsidR="00176513">
              <w:rPr>
                <w:sz w:val="20"/>
              </w:rPr>
              <w:t xml:space="preserve">ondicionieriai, </w:t>
            </w:r>
            <w:r w:rsidR="009E79F1">
              <w:rPr>
                <w:sz w:val="20"/>
              </w:rPr>
              <w:t xml:space="preserve">kurie užtikrina  </w:t>
            </w:r>
            <w:r w:rsidR="00D12478">
              <w:rPr>
                <w:sz w:val="20"/>
              </w:rPr>
              <w:t xml:space="preserve">vaikų sveikatai </w:t>
            </w:r>
            <w:r w:rsidR="009E79F1">
              <w:rPr>
                <w:sz w:val="20"/>
              </w:rPr>
              <w:t>palank</w:t>
            </w:r>
            <w:r w:rsidR="00D12478">
              <w:rPr>
                <w:sz w:val="20"/>
              </w:rPr>
              <w:t>ią</w:t>
            </w:r>
            <w:r w:rsidR="009E79F1">
              <w:rPr>
                <w:sz w:val="20"/>
              </w:rPr>
              <w:t xml:space="preserve"> oro temperatūrą</w:t>
            </w:r>
            <w:r w:rsidR="00842C7A">
              <w:rPr>
                <w:sz w:val="20"/>
              </w:rPr>
              <w:t xml:space="preserve"> vėsiomis ir</w:t>
            </w:r>
            <w:r w:rsidR="00F91DA5">
              <w:rPr>
                <w:sz w:val="20"/>
              </w:rPr>
              <w:t xml:space="preserve"> karštomis dienomis. </w:t>
            </w:r>
          </w:p>
          <w:p w14:paraId="16E89D28" w14:textId="08B0D9AD" w:rsidR="006F1B25" w:rsidRPr="00F84C1B" w:rsidRDefault="00842C7A" w:rsidP="006F1B25">
            <w:pPr>
              <w:overflowPunct w:val="0"/>
              <w:spacing w:line="276" w:lineRule="auto"/>
              <w:jc w:val="both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9E79F1">
              <w:rPr>
                <w:sz w:val="20"/>
              </w:rPr>
              <w:t xml:space="preserve">Rėmėjų lėšomis buvo </w:t>
            </w:r>
            <w:r w:rsidR="00290365">
              <w:rPr>
                <w:sz w:val="20"/>
              </w:rPr>
              <w:t>šienaujama lopšelio-darželio teritorija</w:t>
            </w:r>
            <w:r>
              <w:rPr>
                <w:sz w:val="20"/>
              </w:rPr>
              <w:t xml:space="preserve">, bei </w:t>
            </w:r>
            <w:r w:rsidR="009E79F1">
              <w:rPr>
                <w:sz w:val="20"/>
              </w:rPr>
              <w:t xml:space="preserve">pasodinta  </w:t>
            </w:r>
            <w:r w:rsidR="00176513">
              <w:rPr>
                <w:sz w:val="20"/>
              </w:rPr>
              <w:t>gyvatvorė</w:t>
            </w:r>
            <w:r w:rsidR="009E79F1">
              <w:rPr>
                <w:sz w:val="20"/>
              </w:rPr>
              <w:t>, kuri</w:t>
            </w:r>
            <w:r>
              <w:rPr>
                <w:sz w:val="20"/>
              </w:rPr>
              <w:t xml:space="preserve"> suteiks estetinį pasigėrėjimą bei </w:t>
            </w:r>
            <w:r w:rsidR="009E79F1">
              <w:rPr>
                <w:sz w:val="20"/>
              </w:rPr>
              <w:t xml:space="preserve"> apsaugos vaikų lauko žaidimo aikšteles nuo kelio dulkių</w:t>
            </w:r>
            <w:r>
              <w:rPr>
                <w:sz w:val="20"/>
              </w:rPr>
              <w:t>.</w:t>
            </w:r>
            <w:r w:rsidR="00290365">
              <w:rPr>
                <w:sz w:val="20"/>
              </w:rPr>
              <w:t xml:space="preserve"> </w:t>
            </w:r>
          </w:p>
        </w:tc>
      </w:tr>
    </w:tbl>
    <w:p w14:paraId="156DCF45" w14:textId="77777777" w:rsidR="005651EA" w:rsidRDefault="005651EA" w:rsidP="005651EA">
      <w:pPr>
        <w:jc w:val="center"/>
        <w:rPr>
          <w:b/>
          <w:lang w:eastAsia="lt-LT"/>
        </w:rPr>
      </w:pPr>
    </w:p>
    <w:p w14:paraId="30B53C0B" w14:textId="77777777" w:rsidR="005651EA" w:rsidRDefault="005651EA" w:rsidP="005651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33CD51C1" w14:textId="77777777" w:rsidR="005651EA" w:rsidRDefault="005651EA" w:rsidP="005651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66C63832" w14:textId="77777777" w:rsidR="005651EA" w:rsidRDefault="005651EA" w:rsidP="005651EA">
      <w:pPr>
        <w:jc w:val="center"/>
        <w:rPr>
          <w:lang w:eastAsia="lt-LT"/>
        </w:rPr>
      </w:pPr>
    </w:p>
    <w:p w14:paraId="5D66C342" w14:textId="77777777" w:rsidR="005651EA" w:rsidRDefault="005651EA" w:rsidP="005651EA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5651EA" w14:paraId="4F04CCE3" w14:textId="77777777" w:rsidTr="00941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A6CC" w14:textId="77777777" w:rsidR="005651EA" w:rsidRDefault="005651EA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Metų užduotys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C890" w14:textId="77777777" w:rsidR="005651EA" w:rsidRDefault="005651EA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F7BB" w14:textId="77777777" w:rsidR="005651EA" w:rsidRDefault="005651EA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9C58" w14:textId="77777777" w:rsidR="005651EA" w:rsidRDefault="005651EA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5651EA" w14:paraId="3D97A032" w14:textId="77777777" w:rsidTr="0012306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F01E" w14:textId="53A5942C" w:rsidR="005651EA" w:rsidRPr="00F57D94" w:rsidRDefault="005651EA" w:rsidP="0012306C">
            <w:pPr>
              <w:rPr>
                <w:sz w:val="20"/>
                <w:lang w:eastAsia="lt-LT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6599" w14:textId="77777777" w:rsidR="005651EA" w:rsidRPr="00F57D94" w:rsidRDefault="005651EA" w:rsidP="0012306C">
            <w:pPr>
              <w:rPr>
                <w:sz w:val="20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68FD" w14:textId="12325080" w:rsidR="005651EA" w:rsidRPr="00F57D94" w:rsidRDefault="005651EA" w:rsidP="0012306C">
            <w:pPr>
              <w:rPr>
                <w:sz w:val="20"/>
                <w:lang w:eastAsia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8C72" w14:textId="09A4F420" w:rsidR="005344A4" w:rsidRDefault="005344A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 </w:t>
            </w:r>
          </w:p>
          <w:p w14:paraId="0E82738D" w14:textId="6041141C" w:rsidR="005651EA" w:rsidRPr="00F57D94" w:rsidRDefault="007D24CF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 </w:t>
            </w:r>
          </w:p>
        </w:tc>
      </w:tr>
      <w:tr w:rsidR="00941DAA" w14:paraId="6A928263" w14:textId="77777777" w:rsidTr="00941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82F0" w14:textId="24BDDE56" w:rsidR="00941DAA" w:rsidRPr="00F57D94" w:rsidRDefault="00941DAA" w:rsidP="00D12478">
            <w:pPr>
              <w:rPr>
                <w:sz w:val="20"/>
                <w:lang w:eastAsia="lt-LT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3D28" w14:textId="708B8700" w:rsidR="00941DAA" w:rsidRPr="00F57D94" w:rsidRDefault="00941DAA" w:rsidP="00941DAA">
            <w:pPr>
              <w:rPr>
                <w:sz w:val="20"/>
                <w:lang w:eastAsia="lt-LT"/>
              </w:rPr>
            </w:pPr>
            <w:r w:rsidRPr="00F57D94">
              <w:rPr>
                <w:sz w:val="20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19C0" w14:textId="481A00B9" w:rsidR="00941DAA" w:rsidRPr="00F57D94" w:rsidRDefault="00941DAA" w:rsidP="00941DAA">
            <w:pPr>
              <w:rPr>
                <w:sz w:val="20"/>
              </w:rPr>
            </w:pPr>
          </w:p>
          <w:p w14:paraId="38A3E6B2" w14:textId="6F589365" w:rsidR="00941DAA" w:rsidRPr="00F57D94" w:rsidRDefault="00941DAA" w:rsidP="00941DAA">
            <w:pPr>
              <w:rPr>
                <w:sz w:val="20"/>
                <w:lang w:eastAsia="lt-LT"/>
              </w:rPr>
            </w:pPr>
            <w:r w:rsidRPr="00F57D94"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193A" w14:textId="7974B237" w:rsidR="00941DAA" w:rsidRPr="00F57D94" w:rsidRDefault="00941DAA" w:rsidP="00941DAA">
            <w:pPr>
              <w:rPr>
                <w:sz w:val="20"/>
                <w:lang w:eastAsia="lt-LT"/>
              </w:rPr>
            </w:pPr>
          </w:p>
        </w:tc>
      </w:tr>
      <w:tr w:rsidR="00941DAA" w14:paraId="150850D4" w14:textId="77777777" w:rsidTr="0012306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F247" w14:textId="6B9E9E18" w:rsidR="00941DAA" w:rsidRPr="00F57D94" w:rsidRDefault="00941DAA" w:rsidP="0012306C">
            <w:pPr>
              <w:rPr>
                <w:sz w:val="20"/>
                <w:lang w:eastAsia="lt-LT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ED55" w14:textId="09CF9534" w:rsidR="00D12478" w:rsidRPr="00F57D94" w:rsidRDefault="00941DAA" w:rsidP="00D12478">
            <w:pPr>
              <w:rPr>
                <w:sz w:val="20"/>
              </w:rPr>
            </w:pPr>
            <w:r w:rsidRPr="00F57D94">
              <w:rPr>
                <w:sz w:val="20"/>
                <w:lang w:eastAsia="lt-LT"/>
              </w:rPr>
              <w:t xml:space="preserve"> </w:t>
            </w:r>
          </w:p>
          <w:p w14:paraId="667B3DE5" w14:textId="45C07863" w:rsidR="00941DAA" w:rsidRPr="00F57D94" w:rsidRDefault="00941DAA" w:rsidP="00D12478">
            <w:pPr>
              <w:rPr>
                <w:sz w:val="20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6B8F" w14:textId="77777777" w:rsidR="00941DAA" w:rsidRPr="00F57D94" w:rsidRDefault="00941DAA" w:rsidP="0012306C">
            <w:pPr>
              <w:rPr>
                <w:sz w:val="20"/>
                <w:lang w:eastAsia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1FF8" w14:textId="0CE5EC15" w:rsidR="00941DAA" w:rsidRPr="00F57D94" w:rsidRDefault="00941DAA" w:rsidP="00941DAA">
            <w:pPr>
              <w:rPr>
                <w:sz w:val="20"/>
                <w:lang w:eastAsia="lt-LT"/>
              </w:rPr>
            </w:pPr>
          </w:p>
        </w:tc>
      </w:tr>
      <w:tr w:rsidR="00941DAA" w14:paraId="07774F12" w14:textId="77777777" w:rsidTr="00941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7F7F" w14:textId="3E9B5235" w:rsidR="00941DAA" w:rsidRDefault="00941DAA" w:rsidP="00941DAA">
            <w:pPr>
              <w:rPr>
                <w:szCs w:val="24"/>
                <w:lang w:eastAsia="lt-LT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2AF6" w14:textId="77777777" w:rsidR="00941DAA" w:rsidRDefault="00941DAA" w:rsidP="00941DAA">
            <w:pPr>
              <w:rPr>
                <w:szCs w:val="24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1B14" w14:textId="77777777" w:rsidR="00941DAA" w:rsidRDefault="00941DAA" w:rsidP="00941DAA">
            <w:pPr>
              <w:rPr>
                <w:szCs w:val="24"/>
                <w:lang w:eastAsia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7D78" w14:textId="77777777" w:rsidR="00941DAA" w:rsidRDefault="00941DAA" w:rsidP="00941DAA">
            <w:pPr>
              <w:rPr>
                <w:szCs w:val="24"/>
                <w:lang w:eastAsia="lt-LT"/>
              </w:rPr>
            </w:pPr>
          </w:p>
        </w:tc>
      </w:tr>
      <w:tr w:rsidR="00941DAA" w14:paraId="3FBA4AFF" w14:textId="77777777" w:rsidTr="00941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1D4A" w14:textId="277F6847" w:rsidR="00941DAA" w:rsidRDefault="00941DAA" w:rsidP="00941DAA">
            <w:pPr>
              <w:rPr>
                <w:szCs w:val="24"/>
                <w:lang w:eastAsia="lt-LT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58C2" w14:textId="77777777" w:rsidR="00941DAA" w:rsidRDefault="00941DAA" w:rsidP="00941DAA">
            <w:pPr>
              <w:rPr>
                <w:szCs w:val="24"/>
                <w:lang w:eastAsia="lt-LT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B8C9" w14:textId="77777777" w:rsidR="00941DAA" w:rsidRDefault="00941DAA" w:rsidP="00941DAA">
            <w:pPr>
              <w:rPr>
                <w:szCs w:val="24"/>
                <w:lang w:eastAsia="lt-LT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B43C" w14:textId="77777777" w:rsidR="00941DAA" w:rsidRDefault="00941DAA" w:rsidP="00941DAA">
            <w:pPr>
              <w:rPr>
                <w:szCs w:val="24"/>
                <w:lang w:eastAsia="lt-LT"/>
              </w:rPr>
            </w:pPr>
          </w:p>
        </w:tc>
      </w:tr>
    </w:tbl>
    <w:p w14:paraId="68DBF35F" w14:textId="77777777" w:rsidR="005651EA" w:rsidRDefault="005651EA" w:rsidP="005651EA">
      <w:pPr>
        <w:jc w:val="center"/>
        <w:rPr>
          <w:lang w:eastAsia="lt-LT"/>
        </w:rPr>
      </w:pPr>
    </w:p>
    <w:p w14:paraId="59148270" w14:textId="77777777" w:rsidR="005651EA" w:rsidRDefault="005651EA" w:rsidP="005651EA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4965"/>
      </w:tblGrid>
      <w:tr w:rsidR="005651EA" w14:paraId="063E72BC" w14:textId="77777777" w:rsidTr="005651E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F75B" w14:textId="77777777" w:rsidR="005651EA" w:rsidRDefault="005651E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0A6A" w14:textId="77777777" w:rsidR="005651EA" w:rsidRDefault="005651E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5651EA" w14:paraId="5DFBCEEC" w14:textId="77777777" w:rsidTr="005651E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41D5" w14:textId="2C9B6C38" w:rsidR="005651EA" w:rsidRPr="000B2731" w:rsidRDefault="005651EA" w:rsidP="002936AD">
            <w:pPr>
              <w:rPr>
                <w:szCs w:val="22"/>
                <w:lang w:eastAsia="lt-LT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5050" w14:textId="67D05A36" w:rsidR="005651EA" w:rsidRPr="000B2731" w:rsidRDefault="005651EA">
            <w:pPr>
              <w:jc w:val="center"/>
              <w:rPr>
                <w:szCs w:val="22"/>
                <w:lang w:eastAsia="lt-LT"/>
              </w:rPr>
            </w:pPr>
          </w:p>
        </w:tc>
      </w:tr>
      <w:tr w:rsidR="005651EA" w14:paraId="7D7DF539" w14:textId="77777777" w:rsidTr="0012644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6FA" w14:textId="619375FC" w:rsidR="005651EA" w:rsidRPr="000B2731" w:rsidRDefault="005651EA" w:rsidP="00DF3833">
            <w:pPr>
              <w:rPr>
                <w:szCs w:val="22"/>
                <w:lang w:eastAsia="lt-LT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063C" w14:textId="7A7AD7C8" w:rsidR="005651EA" w:rsidRPr="000B2731" w:rsidRDefault="005651EA" w:rsidP="000B770C">
            <w:pPr>
              <w:jc w:val="center"/>
              <w:rPr>
                <w:szCs w:val="22"/>
                <w:lang w:eastAsia="lt-LT"/>
              </w:rPr>
            </w:pPr>
          </w:p>
        </w:tc>
      </w:tr>
      <w:tr w:rsidR="005651EA" w14:paraId="351DF340" w14:textId="77777777" w:rsidTr="0012644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8C35" w14:textId="712235FC" w:rsidR="005651EA" w:rsidRDefault="005651EA">
            <w:pPr>
              <w:rPr>
                <w:szCs w:val="24"/>
                <w:lang w:eastAsia="lt-LT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BADF" w14:textId="7F8DE675" w:rsidR="005651EA" w:rsidRPr="000B2731" w:rsidRDefault="005651EA">
            <w:pPr>
              <w:jc w:val="center"/>
              <w:rPr>
                <w:szCs w:val="22"/>
                <w:lang w:eastAsia="lt-LT"/>
              </w:rPr>
            </w:pPr>
          </w:p>
        </w:tc>
      </w:tr>
      <w:tr w:rsidR="005651EA" w14:paraId="3BD24E7D" w14:textId="77777777" w:rsidTr="0012644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AA00" w14:textId="487E04E6" w:rsidR="005651EA" w:rsidRDefault="005651EA">
            <w:pPr>
              <w:rPr>
                <w:szCs w:val="24"/>
                <w:lang w:eastAsia="lt-LT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B457" w14:textId="77777777" w:rsidR="005651EA" w:rsidRDefault="005651EA">
            <w:pPr>
              <w:jc w:val="center"/>
              <w:rPr>
                <w:szCs w:val="24"/>
                <w:lang w:eastAsia="lt-LT"/>
              </w:rPr>
            </w:pPr>
          </w:p>
        </w:tc>
      </w:tr>
      <w:tr w:rsidR="005651EA" w14:paraId="3A1523E3" w14:textId="77777777" w:rsidTr="0012644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E5EF" w14:textId="258ECB3D" w:rsidR="005651EA" w:rsidRDefault="005651EA">
            <w:pPr>
              <w:rPr>
                <w:szCs w:val="24"/>
                <w:lang w:eastAsia="lt-LT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B11B" w14:textId="77777777" w:rsidR="005651EA" w:rsidRDefault="005651EA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580E9574" w14:textId="77777777" w:rsidR="005651EA" w:rsidRDefault="005651EA" w:rsidP="005651EA"/>
    <w:p w14:paraId="428862C0" w14:textId="77777777" w:rsidR="005651EA" w:rsidRDefault="005651EA" w:rsidP="005651EA"/>
    <w:p w14:paraId="054130E7" w14:textId="77777777" w:rsidR="005651EA" w:rsidRDefault="005651EA" w:rsidP="005651EA"/>
    <w:p w14:paraId="30FDB688" w14:textId="77777777" w:rsidR="005651EA" w:rsidRDefault="005651EA" w:rsidP="005651EA"/>
    <w:p w14:paraId="1050441E" w14:textId="77777777" w:rsidR="005651EA" w:rsidRDefault="005651EA" w:rsidP="005651EA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14:paraId="7251FC07" w14:textId="77777777" w:rsidR="005651EA" w:rsidRDefault="005651EA" w:rsidP="005651EA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7"/>
        <w:gridCol w:w="4113"/>
      </w:tblGrid>
      <w:tr w:rsidR="005651EA" w14:paraId="280B25F2" w14:textId="77777777" w:rsidTr="00CA7807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7D2C" w14:textId="77777777" w:rsidR="005651EA" w:rsidRDefault="005651EA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D8BA" w14:textId="77777777" w:rsidR="005651EA" w:rsidRDefault="005651EA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5651EA" w14:paraId="09EE4BA2" w14:textId="77777777" w:rsidTr="00CA7807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8E9A" w14:textId="5DD0390B" w:rsidR="005651EA" w:rsidRPr="00E04E0A" w:rsidRDefault="005651EA" w:rsidP="002936AD">
            <w:pPr>
              <w:rPr>
                <w:sz w:val="20"/>
                <w:lang w:eastAsia="lt-LT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940C" w14:textId="05786EE6" w:rsidR="005651EA" w:rsidRPr="00E04E0A" w:rsidRDefault="005651EA" w:rsidP="00D12478">
            <w:pPr>
              <w:rPr>
                <w:sz w:val="20"/>
                <w:lang w:eastAsia="lt-LT"/>
              </w:rPr>
            </w:pPr>
          </w:p>
        </w:tc>
      </w:tr>
      <w:tr w:rsidR="005651EA" w14:paraId="753653DD" w14:textId="77777777" w:rsidTr="00CA7807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2CF8" w14:textId="016C5571" w:rsidR="005651EA" w:rsidRPr="00E04E0A" w:rsidRDefault="005651EA" w:rsidP="000B12A6">
            <w:pPr>
              <w:rPr>
                <w:sz w:val="20"/>
                <w:lang w:eastAsia="lt-LT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D287" w14:textId="5F13FFF7" w:rsidR="005651EA" w:rsidRPr="00E04E0A" w:rsidRDefault="00A63668">
            <w:pPr>
              <w:rPr>
                <w:sz w:val="20"/>
                <w:lang w:eastAsia="lt-LT"/>
              </w:rPr>
            </w:pPr>
            <w:r w:rsidRPr="00E04E0A">
              <w:rPr>
                <w:sz w:val="20"/>
                <w:lang w:eastAsia="lt-LT"/>
              </w:rPr>
              <w:t xml:space="preserve"> </w:t>
            </w:r>
          </w:p>
        </w:tc>
      </w:tr>
      <w:tr w:rsidR="00CA7807" w14:paraId="01D47815" w14:textId="77777777" w:rsidTr="00D12478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8C9" w14:textId="1D4F8734" w:rsidR="00CA7807" w:rsidRPr="00E04E0A" w:rsidRDefault="00CA7807" w:rsidP="00CA7807">
            <w:pPr>
              <w:rPr>
                <w:sz w:val="20"/>
                <w:lang w:eastAsia="lt-LT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1877" w14:textId="0F02973B" w:rsidR="00CA7807" w:rsidRPr="00E04E0A" w:rsidRDefault="00CA7807" w:rsidP="00C12394">
            <w:pPr>
              <w:rPr>
                <w:sz w:val="20"/>
                <w:lang w:eastAsia="lt-LT"/>
              </w:rPr>
            </w:pPr>
          </w:p>
        </w:tc>
      </w:tr>
      <w:tr w:rsidR="00CA7807" w14:paraId="085A83FD" w14:textId="77777777" w:rsidTr="00CA7807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71DA" w14:textId="13336815" w:rsidR="00CA7807" w:rsidRDefault="00CA7807" w:rsidP="0011782C">
            <w:pPr>
              <w:rPr>
                <w:szCs w:val="22"/>
                <w:lang w:eastAsia="lt-LT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A931" w14:textId="67E91E43" w:rsidR="00CA7807" w:rsidRPr="008F5FA9" w:rsidRDefault="00CA7807">
            <w:pPr>
              <w:rPr>
                <w:szCs w:val="22"/>
                <w:lang w:eastAsia="lt-LT"/>
              </w:rPr>
            </w:pPr>
          </w:p>
        </w:tc>
      </w:tr>
      <w:tr w:rsidR="00CA7807" w14:paraId="69944A50" w14:textId="77777777" w:rsidTr="00CA7807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2375" w14:textId="177397CF" w:rsidR="00CA7807" w:rsidRPr="00DC7D5F" w:rsidRDefault="00CA7807" w:rsidP="00CA7807">
            <w:pPr>
              <w:rPr>
                <w:szCs w:val="22"/>
                <w:lang w:eastAsia="lt-LT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E8DE" w14:textId="753AD4F7" w:rsidR="00CA7807" w:rsidRPr="0080508A" w:rsidRDefault="00CA7807" w:rsidP="00D96898">
            <w:pPr>
              <w:rPr>
                <w:szCs w:val="22"/>
                <w:lang w:eastAsia="lt-LT"/>
              </w:rPr>
            </w:pPr>
          </w:p>
        </w:tc>
      </w:tr>
    </w:tbl>
    <w:p w14:paraId="78F3CBB5" w14:textId="77777777" w:rsidR="005651EA" w:rsidRDefault="005651EA" w:rsidP="005651EA"/>
    <w:p w14:paraId="3BDAC721" w14:textId="77777777" w:rsidR="005651EA" w:rsidRDefault="005651EA" w:rsidP="005651EA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5651EA" w14:paraId="59D804F1" w14:textId="77777777" w:rsidTr="005651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17E0" w14:textId="77777777" w:rsidR="005651EA" w:rsidRDefault="005651EA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D2E1" w14:textId="77777777" w:rsidR="005651EA" w:rsidRDefault="005651EA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C7CD" w14:textId="77777777" w:rsidR="005651EA" w:rsidRDefault="005651EA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B095" w14:textId="77777777" w:rsidR="005651EA" w:rsidRDefault="005651EA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5651EA" w14:paraId="219688ED" w14:textId="77777777" w:rsidTr="00126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6FF6" w14:textId="6D0905C2" w:rsidR="005651EA" w:rsidRDefault="005651EA">
            <w:pPr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051C" w14:textId="77777777" w:rsidR="005651EA" w:rsidRDefault="005651E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EDB8" w14:textId="77777777" w:rsidR="005651EA" w:rsidRDefault="005651E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90EC" w14:textId="77777777" w:rsidR="005651EA" w:rsidRDefault="005651EA">
            <w:pPr>
              <w:rPr>
                <w:szCs w:val="24"/>
                <w:lang w:eastAsia="lt-LT"/>
              </w:rPr>
            </w:pPr>
          </w:p>
        </w:tc>
      </w:tr>
      <w:tr w:rsidR="005651EA" w14:paraId="1162207D" w14:textId="77777777" w:rsidTr="00126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A1C0" w14:textId="0E2ED166" w:rsidR="005651EA" w:rsidRDefault="005651EA">
            <w:pPr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F853" w14:textId="77777777" w:rsidR="005651EA" w:rsidRDefault="005651E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5D1E" w14:textId="77777777" w:rsidR="005651EA" w:rsidRDefault="005651E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475B" w14:textId="77777777" w:rsidR="005651EA" w:rsidRDefault="005651EA">
            <w:pPr>
              <w:rPr>
                <w:szCs w:val="24"/>
                <w:lang w:eastAsia="lt-LT"/>
              </w:rPr>
            </w:pPr>
          </w:p>
        </w:tc>
      </w:tr>
      <w:tr w:rsidR="005651EA" w14:paraId="12A25E0A" w14:textId="77777777" w:rsidTr="00126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1840" w14:textId="3523FB84" w:rsidR="005651EA" w:rsidRDefault="005651EA">
            <w:pPr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3BF9" w14:textId="77777777" w:rsidR="005651EA" w:rsidRDefault="005651E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8883" w14:textId="77777777" w:rsidR="005651EA" w:rsidRDefault="005651E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E740" w14:textId="77777777" w:rsidR="005651EA" w:rsidRDefault="005651EA">
            <w:pPr>
              <w:rPr>
                <w:szCs w:val="24"/>
                <w:lang w:eastAsia="lt-LT"/>
              </w:rPr>
            </w:pPr>
          </w:p>
        </w:tc>
      </w:tr>
      <w:tr w:rsidR="005651EA" w14:paraId="10974FC2" w14:textId="77777777" w:rsidTr="00126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6CA9" w14:textId="4074B90A" w:rsidR="005651EA" w:rsidRDefault="005651EA">
            <w:pPr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9717" w14:textId="77777777" w:rsidR="005651EA" w:rsidRDefault="005651E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2565" w14:textId="77777777" w:rsidR="005651EA" w:rsidRDefault="005651E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7DF1" w14:textId="77777777" w:rsidR="005651EA" w:rsidRDefault="005651EA">
            <w:pPr>
              <w:rPr>
                <w:szCs w:val="24"/>
                <w:lang w:eastAsia="lt-LT"/>
              </w:rPr>
            </w:pPr>
          </w:p>
        </w:tc>
      </w:tr>
      <w:tr w:rsidR="005651EA" w14:paraId="03939C5B" w14:textId="77777777" w:rsidTr="001264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8AB7" w14:textId="58EB966A" w:rsidR="005651EA" w:rsidRDefault="005651EA">
            <w:pPr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3BA9" w14:textId="77777777" w:rsidR="005651EA" w:rsidRDefault="005651EA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B08A" w14:textId="77777777" w:rsidR="005651EA" w:rsidRDefault="005651EA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786B" w14:textId="77777777" w:rsidR="005651EA" w:rsidRDefault="005651EA">
            <w:pPr>
              <w:rPr>
                <w:szCs w:val="24"/>
                <w:lang w:eastAsia="lt-LT"/>
              </w:rPr>
            </w:pPr>
          </w:p>
        </w:tc>
      </w:tr>
    </w:tbl>
    <w:p w14:paraId="50E20FB9" w14:textId="77777777" w:rsidR="005651EA" w:rsidRDefault="005651EA" w:rsidP="005651EA">
      <w:pPr>
        <w:jc w:val="center"/>
        <w:rPr>
          <w:sz w:val="22"/>
          <w:szCs w:val="22"/>
          <w:lang w:eastAsia="lt-LT"/>
        </w:rPr>
      </w:pPr>
    </w:p>
    <w:p w14:paraId="0B81FCAF" w14:textId="77777777" w:rsidR="005651EA" w:rsidRDefault="005651EA" w:rsidP="005651EA">
      <w:pPr>
        <w:jc w:val="center"/>
        <w:rPr>
          <w:b/>
        </w:rPr>
      </w:pPr>
      <w:r>
        <w:rPr>
          <w:b/>
        </w:rPr>
        <w:t>III SKYRIUS</w:t>
      </w:r>
    </w:p>
    <w:p w14:paraId="14C77C33" w14:textId="77777777" w:rsidR="005651EA" w:rsidRDefault="005651EA" w:rsidP="005651EA">
      <w:pPr>
        <w:jc w:val="center"/>
        <w:rPr>
          <w:b/>
        </w:rPr>
      </w:pPr>
      <w:r>
        <w:rPr>
          <w:b/>
        </w:rPr>
        <w:t>GEBĖJIMŲ ATLIKTI PAREIGYBĖS APRAŠYME NUSTATYTAS FUNKCIJAS VERTINIMAS</w:t>
      </w:r>
    </w:p>
    <w:p w14:paraId="43F473F7" w14:textId="77777777" w:rsidR="005651EA" w:rsidRDefault="005651EA" w:rsidP="005651EA">
      <w:pPr>
        <w:jc w:val="center"/>
        <w:rPr>
          <w:sz w:val="22"/>
          <w:szCs w:val="22"/>
        </w:rPr>
      </w:pPr>
    </w:p>
    <w:p w14:paraId="1411907E" w14:textId="77777777" w:rsidR="005651EA" w:rsidRDefault="005651EA" w:rsidP="005651EA">
      <w:pPr>
        <w:rPr>
          <w:b/>
        </w:rPr>
      </w:pPr>
      <w:r>
        <w:rPr>
          <w:b/>
        </w:rPr>
        <w:t>5. Gebėjimų atlikti pareigybės aprašyme nustatytas funkcijas vertinimas</w:t>
      </w:r>
    </w:p>
    <w:p w14:paraId="00E0E960" w14:textId="77777777" w:rsidR="005651EA" w:rsidRDefault="005651EA" w:rsidP="005651EA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5651EA" w14:paraId="49A099E2" w14:textId="77777777" w:rsidTr="005651E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5B2CF" w14:textId="77777777" w:rsidR="005651EA" w:rsidRDefault="005651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98C1D" w14:textId="77777777" w:rsidR="005651EA" w:rsidRDefault="005651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14:paraId="36D0FC78" w14:textId="77777777" w:rsidR="005651EA" w:rsidRDefault="005651EA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14:paraId="0A724976" w14:textId="27FA58DC" w:rsidR="005651EA" w:rsidRDefault="00A55188" w:rsidP="00A5518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5651EA">
              <w:rPr>
                <w:sz w:val="22"/>
                <w:szCs w:val="22"/>
              </w:rPr>
              <w:t>2 – patenkinamai;</w:t>
            </w:r>
          </w:p>
          <w:p w14:paraId="5D78DA61" w14:textId="77777777" w:rsidR="005651EA" w:rsidRDefault="005651EA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14:paraId="005EA305" w14:textId="77777777" w:rsidR="005651EA" w:rsidRDefault="005651E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5651EA" w14:paraId="5B0B71D4" w14:textId="77777777" w:rsidTr="005651E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C4D3E" w14:textId="77777777" w:rsidR="005651EA" w:rsidRDefault="005651EA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C1917" w14:textId="77777777" w:rsidR="005651EA" w:rsidRDefault="005651E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5651EA" w14:paraId="3FFF287B" w14:textId="77777777" w:rsidTr="005651E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AB033" w14:textId="77777777" w:rsidR="005651EA" w:rsidRDefault="005651EA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67ABA" w14:textId="77777777" w:rsidR="005651EA" w:rsidRDefault="005651EA">
            <w:pPr>
              <w:tabs>
                <w:tab w:val="left" w:pos="690"/>
              </w:tabs>
              <w:ind w:hanging="19"/>
              <w:rPr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5651EA" w14:paraId="2A470B53" w14:textId="77777777" w:rsidTr="005651E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0DAA3" w14:textId="77777777" w:rsidR="005651EA" w:rsidRDefault="005651EA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084E5" w14:textId="77777777" w:rsidR="005651EA" w:rsidRDefault="005651E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5651EA" w14:paraId="4A00B16E" w14:textId="77777777" w:rsidTr="005651E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A4998" w14:textId="77777777" w:rsidR="005651EA" w:rsidRDefault="005651EA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608EA" w14:textId="77777777" w:rsidR="005651EA" w:rsidRDefault="005651E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5651EA" w14:paraId="614323D6" w14:textId="77777777" w:rsidTr="005651EA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B130" w14:textId="77777777" w:rsidR="005651EA" w:rsidRDefault="005651EA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14B4F" w14:textId="77777777" w:rsidR="005651EA" w:rsidRDefault="005651E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</w:tbl>
    <w:p w14:paraId="67C2B89C" w14:textId="77777777" w:rsidR="005651EA" w:rsidRDefault="005651EA" w:rsidP="005651EA">
      <w:pPr>
        <w:jc w:val="center"/>
        <w:rPr>
          <w:sz w:val="22"/>
          <w:szCs w:val="22"/>
          <w:lang w:eastAsia="lt-LT"/>
        </w:rPr>
      </w:pPr>
    </w:p>
    <w:p w14:paraId="343119C8" w14:textId="77777777" w:rsidR="005651EA" w:rsidRDefault="005651EA" w:rsidP="005651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5AB6D0B7" w14:textId="77777777" w:rsidR="005651EA" w:rsidRDefault="005651EA" w:rsidP="005651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3271EC20" w14:textId="77777777" w:rsidR="005651EA" w:rsidRDefault="005651EA" w:rsidP="005651EA">
      <w:pPr>
        <w:jc w:val="center"/>
        <w:rPr>
          <w:b/>
          <w:sz w:val="22"/>
          <w:szCs w:val="22"/>
          <w:lang w:eastAsia="lt-LT"/>
        </w:rPr>
      </w:pPr>
    </w:p>
    <w:p w14:paraId="577C53D3" w14:textId="77777777" w:rsidR="005651EA" w:rsidRDefault="005651EA" w:rsidP="005651EA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5651EA" w14:paraId="48941605" w14:textId="77777777" w:rsidTr="005651E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BB70" w14:textId="77777777" w:rsidR="005651EA" w:rsidRDefault="005651EA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A634" w14:textId="77777777" w:rsidR="005651EA" w:rsidRDefault="005651EA">
            <w:pPr>
              <w:jc w:val="center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5651EA" w14:paraId="18C874B0" w14:textId="77777777" w:rsidTr="005651E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A4D7" w14:textId="77777777" w:rsidR="005651EA" w:rsidRDefault="005651EA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C2F1" w14:textId="77777777" w:rsidR="005651EA" w:rsidRDefault="005651EA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5651EA" w14:paraId="21375B7A" w14:textId="77777777" w:rsidTr="005651E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554F" w14:textId="77777777" w:rsidR="005651EA" w:rsidRDefault="005651EA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9B94" w14:textId="77777777" w:rsidR="005651EA" w:rsidRDefault="005651EA" w:rsidP="000A2B79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 w:rsidR="000A2B79">
              <w:rPr>
                <w:sz w:val="22"/>
                <w:szCs w:val="22"/>
                <w:lang w:eastAsia="lt-LT"/>
              </w:rPr>
              <w:t>+</w:t>
            </w:r>
          </w:p>
        </w:tc>
      </w:tr>
      <w:tr w:rsidR="005651EA" w14:paraId="340C61CF" w14:textId="77777777" w:rsidTr="005651E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2193" w14:textId="77777777" w:rsidR="005651EA" w:rsidRDefault="005651EA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DE77" w14:textId="77777777" w:rsidR="005651EA" w:rsidRDefault="005651EA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5651EA" w14:paraId="2364376D" w14:textId="77777777" w:rsidTr="005651EA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0F39" w14:textId="77777777" w:rsidR="005651EA" w:rsidRDefault="005651EA">
            <w:pPr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F36B" w14:textId="77777777" w:rsidR="005651EA" w:rsidRDefault="005651EA">
            <w:pPr>
              <w:ind w:right="340"/>
              <w:jc w:val="right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56AF051F" w14:textId="77777777" w:rsidR="005651EA" w:rsidRDefault="005651EA" w:rsidP="005651EA">
      <w:pPr>
        <w:jc w:val="center"/>
        <w:rPr>
          <w:sz w:val="22"/>
          <w:szCs w:val="22"/>
          <w:lang w:eastAsia="lt-LT"/>
        </w:rPr>
      </w:pPr>
    </w:p>
    <w:p w14:paraId="13645CC4" w14:textId="77777777" w:rsidR="005651EA" w:rsidRDefault="005651EA" w:rsidP="005651EA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5651EA" w14:paraId="309C8AD0" w14:textId="77777777" w:rsidTr="005651E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9144" w14:textId="46A12F98" w:rsidR="005651EA" w:rsidRDefault="005651E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</w:t>
            </w:r>
            <w:r w:rsidR="00A442BE" w:rsidRPr="00A442BE">
              <w:rPr>
                <w:sz w:val="22"/>
                <w:szCs w:val="22"/>
                <w:lang w:eastAsia="lt-LT"/>
              </w:rPr>
              <w:t>V</w:t>
            </w:r>
            <w:r w:rsidR="00264F96">
              <w:rPr>
                <w:sz w:val="22"/>
                <w:szCs w:val="22"/>
                <w:lang w:eastAsia="lt-LT"/>
              </w:rPr>
              <w:t xml:space="preserve">iešojo sektoriaus </w:t>
            </w:r>
            <w:r w:rsidR="00E62730">
              <w:rPr>
                <w:sz w:val="22"/>
                <w:szCs w:val="22"/>
                <w:lang w:eastAsia="lt-LT"/>
              </w:rPr>
              <w:t>apskaitos aktualijos ir vidaus kontrolės veikimo praktiniai aspektai</w:t>
            </w:r>
          </w:p>
        </w:tc>
      </w:tr>
      <w:tr w:rsidR="005651EA" w14:paraId="31E25749" w14:textId="77777777" w:rsidTr="005651EA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0E61" w14:textId="77777777" w:rsidR="005651EA" w:rsidRDefault="005651E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7.2.</w:t>
            </w:r>
          </w:p>
        </w:tc>
      </w:tr>
    </w:tbl>
    <w:p w14:paraId="0458DF63" w14:textId="77777777" w:rsidR="00A55188" w:rsidRDefault="00A55188" w:rsidP="005651EA">
      <w:pPr>
        <w:jc w:val="center"/>
        <w:rPr>
          <w:b/>
          <w:szCs w:val="24"/>
          <w:lang w:eastAsia="lt-LT"/>
        </w:rPr>
      </w:pPr>
    </w:p>
    <w:p w14:paraId="533B6044" w14:textId="1A532FAE" w:rsidR="005651EA" w:rsidRDefault="005651EA" w:rsidP="005651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27E8E064" w14:textId="77777777" w:rsidR="005651EA" w:rsidRDefault="005651EA" w:rsidP="005651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2BF529A8" w14:textId="77777777" w:rsidR="005651EA" w:rsidRDefault="005651EA" w:rsidP="005651EA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774BD6E3" w14:textId="77777777" w:rsidR="005651EA" w:rsidRDefault="005651EA" w:rsidP="005651EA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8.</w:t>
      </w:r>
      <w:r>
        <w:rPr>
          <w:b/>
          <w:szCs w:val="24"/>
          <w:lang w:eastAsia="lt-LT"/>
        </w:rPr>
        <w:tab/>
        <w:t>Kitų metų užduotys</w:t>
      </w:r>
    </w:p>
    <w:p w14:paraId="337FBFE5" w14:textId="77777777" w:rsidR="005651EA" w:rsidRDefault="005651EA" w:rsidP="005651EA">
      <w:pPr>
        <w:rPr>
          <w:sz w:val="20"/>
          <w:lang w:eastAsia="lt-LT"/>
        </w:rPr>
      </w:pPr>
      <w:r>
        <w:rPr>
          <w:sz w:val="20"/>
          <w:lang w:eastAsia="lt-LT"/>
        </w:rPr>
        <w:t>(nustatomos ne mažiau kaip 3 ir ne daugiau kaip 5 užduotys)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5651EA" w14:paraId="572E890E" w14:textId="77777777" w:rsidTr="005651E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90BA" w14:textId="77777777" w:rsidR="005651EA" w:rsidRDefault="005651E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15EC" w14:textId="77777777" w:rsidR="005651EA" w:rsidRDefault="005651E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DD39" w14:textId="77777777" w:rsidR="005651EA" w:rsidRDefault="005651E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5651EA" w14:paraId="78DEE690" w14:textId="77777777" w:rsidTr="005651E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C484" w14:textId="77777777" w:rsidR="005651EA" w:rsidRDefault="005651E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C682" w14:textId="77777777" w:rsidR="005651EA" w:rsidRDefault="005651EA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38CD" w14:textId="77777777" w:rsidR="005651EA" w:rsidRDefault="005651EA">
            <w:pPr>
              <w:jc w:val="center"/>
              <w:rPr>
                <w:szCs w:val="24"/>
                <w:lang w:eastAsia="lt-LT"/>
              </w:rPr>
            </w:pPr>
          </w:p>
        </w:tc>
      </w:tr>
      <w:tr w:rsidR="005651EA" w14:paraId="252DB990" w14:textId="77777777" w:rsidTr="005651E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1734" w14:textId="77777777" w:rsidR="005651EA" w:rsidRDefault="005651E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E728" w14:textId="77777777" w:rsidR="005651EA" w:rsidRDefault="005651EA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A507" w14:textId="77777777" w:rsidR="005651EA" w:rsidRDefault="005651EA">
            <w:pPr>
              <w:jc w:val="center"/>
              <w:rPr>
                <w:szCs w:val="24"/>
                <w:lang w:eastAsia="lt-LT"/>
              </w:rPr>
            </w:pPr>
          </w:p>
        </w:tc>
      </w:tr>
      <w:tr w:rsidR="005651EA" w14:paraId="6B9ABED8" w14:textId="77777777" w:rsidTr="005651E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8FBE" w14:textId="77777777" w:rsidR="005651EA" w:rsidRDefault="005651E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6257" w14:textId="77777777" w:rsidR="005651EA" w:rsidRDefault="005651EA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4FD0" w14:textId="77777777" w:rsidR="005651EA" w:rsidRDefault="005651EA">
            <w:pPr>
              <w:jc w:val="center"/>
              <w:rPr>
                <w:szCs w:val="24"/>
                <w:lang w:eastAsia="lt-LT"/>
              </w:rPr>
            </w:pPr>
          </w:p>
        </w:tc>
      </w:tr>
      <w:tr w:rsidR="005651EA" w14:paraId="5C3EA585" w14:textId="77777777" w:rsidTr="005651E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4DF8" w14:textId="77777777" w:rsidR="005651EA" w:rsidRDefault="005651E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F358" w14:textId="77777777" w:rsidR="005651EA" w:rsidRDefault="005651EA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F0D" w14:textId="77777777" w:rsidR="005651EA" w:rsidRDefault="005651EA">
            <w:pPr>
              <w:jc w:val="center"/>
              <w:rPr>
                <w:szCs w:val="24"/>
                <w:lang w:eastAsia="lt-LT"/>
              </w:rPr>
            </w:pPr>
          </w:p>
        </w:tc>
      </w:tr>
      <w:tr w:rsidR="005651EA" w14:paraId="69F3D7D0" w14:textId="77777777" w:rsidTr="005651EA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CA50" w14:textId="77777777" w:rsidR="005651EA" w:rsidRDefault="005651E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797" w14:textId="77777777" w:rsidR="005651EA" w:rsidRDefault="005651EA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2E3E" w14:textId="77777777" w:rsidR="005651EA" w:rsidRDefault="005651EA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4AAB37DB" w14:textId="77777777" w:rsidR="005651EA" w:rsidRDefault="005651EA" w:rsidP="005651EA">
      <w:pPr>
        <w:rPr>
          <w:szCs w:val="24"/>
        </w:rPr>
      </w:pPr>
    </w:p>
    <w:p w14:paraId="22B8B96A" w14:textId="77777777" w:rsidR="00A55188" w:rsidRDefault="00A55188" w:rsidP="005651EA">
      <w:pPr>
        <w:tabs>
          <w:tab w:val="left" w:pos="426"/>
        </w:tabs>
        <w:jc w:val="both"/>
        <w:rPr>
          <w:b/>
          <w:szCs w:val="24"/>
          <w:lang w:eastAsia="lt-LT"/>
        </w:rPr>
      </w:pPr>
    </w:p>
    <w:p w14:paraId="61E002B6" w14:textId="69D4E857" w:rsidR="00A55188" w:rsidRDefault="005651EA" w:rsidP="005651EA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14:paraId="510D8086" w14:textId="27E244D9" w:rsidR="005651EA" w:rsidRDefault="005651EA" w:rsidP="005651EA">
      <w:pPr>
        <w:rPr>
          <w:sz w:val="20"/>
          <w:lang w:eastAsia="lt-LT"/>
        </w:rPr>
      </w:pPr>
      <w:r>
        <w:rPr>
          <w:sz w:val="20"/>
          <w:lang w:eastAsia="lt-LT"/>
        </w:rPr>
        <w:t>(pildoma suderinus su švietimo įstaigos vadovu)</w:t>
      </w:r>
    </w:p>
    <w:p w14:paraId="2E77FA3F" w14:textId="77777777" w:rsidR="00A55188" w:rsidRDefault="00A55188" w:rsidP="005651EA">
      <w:pPr>
        <w:rPr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651EA" w14:paraId="731A8648" w14:textId="77777777" w:rsidTr="005651E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6515" w14:textId="77777777" w:rsidR="005651EA" w:rsidRDefault="005651E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</w:p>
        </w:tc>
      </w:tr>
      <w:tr w:rsidR="005651EA" w14:paraId="66BED2B9" w14:textId="77777777" w:rsidTr="005651E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6613" w14:textId="77777777" w:rsidR="005651EA" w:rsidRDefault="005651E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</w:p>
        </w:tc>
      </w:tr>
      <w:tr w:rsidR="005651EA" w14:paraId="3BAB6DD0" w14:textId="77777777" w:rsidTr="005651E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EBA8" w14:textId="77777777" w:rsidR="005651EA" w:rsidRDefault="005651E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</w:p>
        </w:tc>
      </w:tr>
    </w:tbl>
    <w:p w14:paraId="548D5990" w14:textId="77777777" w:rsidR="00A55188" w:rsidRDefault="00A55188" w:rsidP="005651EA">
      <w:pPr>
        <w:jc w:val="center"/>
        <w:rPr>
          <w:b/>
          <w:szCs w:val="24"/>
          <w:lang w:eastAsia="lt-LT"/>
        </w:rPr>
      </w:pPr>
    </w:p>
    <w:p w14:paraId="3A8C7ED4" w14:textId="77777777" w:rsidR="00A55188" w:rsidRDefault="00A55188" w:rsidP="005651EA">
      <w:pPr>
        <w:jc w:val="center"/>
        <w:rPr>
          <w:b/>
          <w:szCs w:val="24"/>
          <w:lang w:eastAsia="lt-LT"/>
        </w:rPr>
      </w:pPr>
    </w:p>
    <w:p w14:paraId="3F260460" w14:textId="03969496" w:rsidR="005651EA" w:rsidRDefault="005651EA" w:rsidP="005651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14:paraId="3082A673" w14:textId="77777777" w:rsidR="005651EA" w:rsidRDefault="005651EA" w:rsidP="005651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1F385FDF" w14:textId="77777777" w:rsidR="005651EA" w:rsidRDefault="005651EA" w:rsidP="005651EA">
      <w:pPr>
        <w:jc w:val="center"/>
        <w:rPr>
          <w:lang w:eastAsia="lt-LT"/>
        </w:rPr>
      </w:pPr>
    </w:p>
    <w:p w14:paraId="50C2BC89" w14:textId="77777777" w:rsidR="005651EA" w:rsidRDefault="005651EA" w:rsidP="005651E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59C7BB65" w14:textId="77777777" w:rsidR="005651EA" w:rsidRDefault="005651EA" w:rsidP="005651E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14:paraId="5E6CF38C" w14:textId="77777777" w:rsidR="005651EA" w:rsidRDefault="005651EA" w:rsidP="005651E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14C8243E" w14:textId="77777777" w:rsidR="005651EA" w:rsidRDefault="005651EA" w:rsidP="005651EA">
      <w:pPr>
        <w:rPr>
          <w:szCs w:val="24"/>
          <w:lang w:eastAsia="lt-LT"/>
        </w:rPr>
      </w:pPr>
    </w:p>
    <w:p w14:paraId="5D2324F4" w14:textId="77777777" w:rsidR="005651EA" w:rsidRDefault="005651EA" w:rsidP="005651E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____________________                          __________                    _________________         __________</w:t>
      </w:r>
    </w:p>
    <w:p w14:paraId="284D9AF4" w14:textId="77777777" w:rsidR="005651EA" w:rsidRDefault="005651EA" w:rsidP="005651EA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14:paraId="443E5536" w14:textId="77777777" w:rsidR="005651EA" w:rsidRDefault="005651EA" w:rsidP="005651EA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14:paraId="2657D8E7" w14:textId="77777777" w:rsidR="005651EA" w:rsidRDefault="005651EA" w:rsidP="005651EA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/ </w:t>
      </w:r>
    </w:p>
    <w:p w14:paraId="1328D90F" w14:textId="77777777" w:rsidR="005651EA" w:rsidRDefault="005651EA" w:rsidP="005651EA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darbuotojų atstovavimą įgyvendinantis asmuo)</w:t>
      </w:r>
    </w:p>
    <w:p w14:paraId="211BBE56" w14:textId="77777777" w:rsidR="005651EA" w:rsidRDefault="005651EA" w:rsidP="005651EA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4061B153" w14:textId="77777777" w:rsidR="005651EA" w:rsidRDefault="005651EA" w:rsidP="005651E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7EDC8CF3" w14:textId="77777777" w:rsidR="005651EA" w:rsidRDefault="005651EA" w:rsidP="005651E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6E183146" w14:textId="77777777" w:rsidR="005651EA" w:rsidRDefault="005651EA" w:rsidP="005651E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312732F5" w14:textId="77777777" w:rsidR="005651EA" w:rsidRDefault="005651EA" w:rsidP="005651EA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47DAA377" w14:textId="77777777" w:rsidR="005651EA" w:rsidRDefault="005651EA" w:rsidP="005651E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               _________               ________________         __________</w:t>
      </w:r>
    </w:p>
    <w:p w14:paraId="29BDEA7E" w14:textId="77777777" w:rsidR="005651EA" w:rsidRDefault="005651EA" w:rsidP="005651EA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 xml:space="preserve">(valstybinės </w:t>
      </w:r>
      <w:r>
        <w:rPr>
          <w:color w:val="000000"/>
          <w:sz w:val="20"/>
          <w:lang w:eastAsia="lt-LT"/>
        </w:rPr>
        <w:t xml:space="preserve">švietimo įstaigos savininko          </w:t>
      </w:r>
      <w:r>
        <w:rPr>
          <w:sz w:val="20"/>
          <w:lang w:eastAsia="lt-LT"/>
        </w:rPr>
        <w:t>(parašas)                        (vardas ir pavardė)                       (data)</w:t>
      </w:r>
    </w:p>
    <w:p w14:paraId="75D9AA94" w14:textId="77777777" w:rsidR="005651EA" w:rsidRDefault="005651EA" w:rsidP="005651EA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teises ir pareigas įgyvendinančios institucijos</w:t>
      </w:r>
    </w:p>
    <w:p w14:paraId="3A71E28E" w14:textId="77777777" w:rsidR="005651EA" w:rsidRDefault="005651EA" w:rsidP="005651EA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(dalyvių susirinkimo) įgalioto asmens </w:t>
      </w:r>
      <w:r>
        <w:rPr>
          <w:sz w:val="20"/>
          <w:lang w:eastAsia="lt-LT"/>
        </w:rPr>
        <w:t>pareigos;</w:t>
      </w:r>
    </w:p>
    <w:p w14:paraId="3E0D45EA" w14:textId="77777777" w:rsidR="005651EA" w:rsidRDefault="005651EA" w:rsidP="005651EA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meras)</w:t>
      </w:r>
    </w:p>
    <w:p w14:paraId="1E40042B" w14:textId="77777777" w:rsidR="005651EA" w:rsidRDefault="005651EA" w:rsidP="005651EA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18EC9727" w14:textId="77777777" w:rsidR="005651EA" w:rsidRDefault="005651EA" w:rsidP="005651EA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14:paraId="476F691E" w14:textId="77777777" w:rsidR="005651EA" w:rsidRDefault="005651EA" w:rsidP="005651EA">
      <w:pPr>
        <w:jc w:val="center"/>
        <w:rPr>
          <w:b/>
          <w:szCs w:val="24"/>
          <w:lang w:eastAsia="lt-LT"/>
        </w:rPr>
      </w:pPr>
    </w:p>
    <w:p w14:paraId="18207559" w14:textId="77777777" w:rsidR="005651EA" w:rsidRDefault="005651EA" w:rsidP="005651E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30429BD1" w14:textId="77777777" w:rsidR="005651EA" w:rsidRDefault="005651EA" w:rsidP="005651E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14:paraId="06607B85" w14:textId="36BF8713" w:rsidR="005651EA" w:rsidRDefault="005651EA" w:rsidP="005651E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                    _________________         ________</w:t>
      </w:r>
    </w:p>
    <w:p w14:paraId="329830DF" w14:textId="1FCF5709" w:rsidR="00A55188" w:rsidRPr="00A55188" w:rsidRDefault="005651EA" w:rsidP="00232E9A">
      <w:pPr>
        <w:tabs>
          <w:tab w:val="left" w:pos="4536"/>
          <w:tab w:val="left" w:pos="4962"/>
          <w:tab w:val="left" w:pos="7230"/>
        </w:tabs>
        <w:jc w:val="both"/>
        <w:rPr>
          <w:szCs w:val="24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</w:t>
      </w:r>
      <w:r w:rsidR="00A55188">
        <w:rPr>
          <w:sz w:val="20"/>
          <w:lang w:eastAsia="lt-LT"/>
        </w:rPr>
        <w:t>ta)</w:t>
      </w:r>
    </w:p>
    <w:sectPr w:rsidR="00A55188" w:rsidRPr="00A55188" w:rsidSect="00D407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EFBA" w14:textId="77777777" w:rsidR="002A7E64" w:rsidRDefault="002A7E64" w:rsidP="00A55188">
      <w:r>
        <w:separator/>
      </w:r>
    </w:p>
  </w:endnote>
  <w:endnote w:type="continuationSeparator" w:id="0">
    <w:p w14:paraId="0AD734F1" w14:textId="77777777" w:rsidR="002A7E64" w:rsidRDefault="002A7E64" w:rsidP="00A5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129E" w14:textId="77777777" w:rsidR="002A7E64" w:rsidRDefault="002A7E64" w:rsidP="00A55188">
      <w:r>
        <w:separator/>
      </w:r>
    </w:p>
  </w:footnote>
  <w:footnote w:type="continuationSeparator" w:id="0">
    <w:p w14:paraId="50B6D1E8" w14:textId="77777777" w:rsidR="002A7E64" w:rsidRDefault="002A7E64" w:rsidP="00A5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47B2"/>
    <w:multiLevelType w:val="hybridMultilevel"/>
    <w:tmpl w:val="BB2E44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81A19"/>
    <w:multiLevelType w:val="multilevel"/>
    <w:tmpl w:val="F25EAF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A71844"/>
    <w:multiLevelType w:val="multilevel"/>
    <w:tmpl w:val="356247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EA"/>
    <w:rsid w:val="0001190D"/>
    <w:rsid w:val="00013F04"/>
    <w:rsid w:val="0001421D"/>
    <w:rsid w:val="000174D1"/>
    <w:rsid w:val="00025CFE"/>
    <w:rsid w:val="00035BE3"/>
    <w:rsid w:val="00057E96"/>
    <w:rsid w:val="00065AB4"/>
    <w:rsid w:val="0008713E"/>
    <w:rsid w:val="000A167B"/>
    <w:rsid w:val="000A2B79"/>
    <w:rsid w:val="000B12A6"/>
    <w:rsid w:val="000B2731"/>
    <w:rsid w:val="000B770C"/>
    <w:rsid w:val="000C701A"/>
    <w:rsid w:val="000F09AE"/>
    <w:rsid w:val="000F7D84"/>
    <w:rsid w:val="0010178B"/>
    <w:rsid w:val="001114E6"/>
    <w:rsid w:val="0011782C"/>
    <w:rsid w:val="00121499"/>
    <w:rsid w:val="0012306C"/>
    <w:rsid w:val="00126443"/>
    <w:rsid w:val="001518A8"/>
    <w:rsid w:val="00155938"/>
    <w:rsid w:val="00156220"/>
    <w:rsid w:val="001611B6"/>
    <w:rsid w:val="00176513"/>
    <w:rsid w:val="00181E60"/>
    <w:rsid w:val="00197BFF"/>
    <w:rsid w:val="001C13A6"/>
    <w:rsid w:val="001C51AA"/>
    <w:rsid w:val="001D6097"/>
    <w:rsid w:val="001F21DD"/>
    <w:rsid w:val="001F61CF"/>
    <w:rsid w:val="00217D10"/>
    <w:rsid w:val="0022058A"/>
    <w:rsid w:val="002329DA"/>
    <w:rsid w:val="00232E9A"/>
    <w:rsid w:val="0023585C"/>
    <w:rsid w:val="002553D0"/>
    <w:rsid w:val="00264F96"/>
    <w:rsid w:val="00265788"/>
    <w:rsid w:val="00272F6E"/>
    <w:rsid w:val="00290365"/>
    <w:rsid w:val="002936AD"/>
    <w:rsid w:val="002A7E64"/>
    <w:rsid w:val="002B31D0"/>
    <w:rsid w:val="002D7852"/>
    <w:rsid w:val="002F3B96"/>
    <w:rsid w:val="003225AC"/>
    <w:rsid w:val="003226BB"/>
    <w:rsid w:val="00357360"/>
    <w:rsid w:val="00382C76"/>
    <w:rsid w:val="003A53E6"/>
    <w:rsid w:val="003A55BD"/>
    <w:rsid w:val="003B21B1"/>
    <w:rsid w:val="003B7901"/>
    <w:rsid w:val="003C03B8"/>
    <w:rsid w:val="003C15D0"/>
    <w:rsid w:val="003C57E1"/>
    <w:rsid w:val="003D0897"/>
    <w:rsid w:val="003D2456"/>
    <w:rsid w:val="003D3DE6"/>
    <w:rsid w:val="00413EE6"/>
    <w:rsid w:val="00421D90"/>
    <w:rsid w:val="00434383"/>
    <w:rsid w:val="004362D4"/>
    <w:rsid w:val="0044553B"/>
    <w:rsid w:val="00466901"/>
    <w:rsid w:val="00471CA8"/>
    <w:rsid w:val="00472801"/>
    <w:rsid w:val="0048362B"/>
    <w:rsid w:val="00484CC1"/>
    <w:rsid w:val="004917DE"/>
    <w:rsid w:val="004D7CE8"/>
    <w:rsid w:val="004E1625"/>
    <w:rsid w:val="004E1BA3"/>
    <w:rsid w:val="004E5734"/>
    <w:rsid w:val="004F4EC9"/>
    <w:rsid w:val="00516222"/>
    <w:rsid w:val="00522C13"/>
    <w:rsid w:val="00526AC9"/>
    <w:rsid w:val="005344A4"/>
    <w:rsid w:val="005651EA"/>
    <w:rsid w:val="00577290"/>
    <w:rsid w:val="005A3AA7"/>
    <w:rsid w:val="005A63BA"/>
    <w:rsid w:val="005D1ECC"/>
    <w:rsid w:val="005E3B49"/>
    <w:rsid w:val="006062AC"/>
    <w:rsid w:val="00607F6C"/>
    <w:rsid w:val="0061104F"/>
    <w:rsid w:val="00621F0A"/>
    <w:rsid w:val="00663D39"/>
    <w:rsid w:val="00664E0D"/>
    <w:rsid w:val="00667845"/>
    <w:rsid w:val="00692DD7"/>
    <w:rsid w:val="006A1133"/>
    <w:rsid w:val="006D3798"/>
    <w:rsid w:val="006F1B25"/>
    <w:rsid w:val="006F2EA7"/>
    <w:rsid w:val="006F473B"/>
    <w:rsid w:val="00715492"/>
    <w:rsid w:val="0076196C"/>
    <w:rsid w:val="00764DC1"/>
    <w:rsid w:val="00771F36"/>
    <w:rsid w:val="00786B0A"/>
    <w:rsid w:val="00790EFF"/>
    <w:rsid w:val="00794CEF"/>
    <w:rsid w:val="007B2362"/>
    <w:rsid w:val="007C289C"/>
    <w:rsid w:val="007D1366"/>
    <w:rsid w:val="007D24CF"/>
    <w:rsid w:val="0080508A"/>
    <w:rsid w:val="00831B92"/>
    <w:rsid w:val="0084070E"/>
    <w:rsid w:val="00842C7A"/>
    <w:rsid w:val="008527BB"/>
    <w:rsid w:val="00852B03"/>
    <w:rsid w:val="0087549E"/>
    <w:rsid w:val="00880899"/>
    <w:rsid w:val="008D019A"/>
    <w:rsid w:val="008D53DA"/>
    <w:rsid w:val="008E315A"/>
    <w:rsid w:val="008F5FA9"/>
    <w:rsid w:val="00906DB2"/>
    <w:rsid w:val="00915275"/>
    <w:rsid w:val="00937FE4"/>
    <w:rsid w:val="00940902"/>
    <w:rsid w:val="00941DAA"/>
    <w:rsid w:val="00950FFC"/>
    <w:rsid w:val="0098186F"/>
    <w:rsid w:val="009A46C7"/>
    <w:rsid w:val="009A53BD"/>
    <w:rsid w:val="009A7921"/>
    <w:rsid w:val="009A7E2A"/>
    <w:rsid w:val="009D68A7"/>
    <w:rsid w:val="009E527C"/>
    <w:rsid w:val="009E79F1"/>
    <w:rsid w:val="009F7489"/>
    <w:rsid w:val="00A072E8"/>
    <w:rsid w:val="00A12FF8"/>
    <w:rsid w:val="00A43D6A"/>
    <w:rsid w:val="00A442BE"/>
    <w:rsid w:val="00A45A87"/>
    <w:rsid w:val="00A55188"/>
    <w:rsid w:val="00A63668"/>
    <w:rsid w:val="00A813C3"/>
    <w:rsid w:val="00A867C1"/>
    <w:rsid w:val="00A8773F"/>
    <w:rsid w:val="00A93ECA"/>
    <w:rsid w:val="00AA0A0B"/>
    <w:rsid w:val="00AE2A87"/>
    <w:rsid w:val="00AE46A6"/>
    <w:rsid w:val="00AE64B4"/>
    <w:rsid w:val="00AF4DB6"/>
    <w:rsid w:val="00B0196C"/>
    <w:rsid w:val="00B072F4"/>
    <w:rsid w:val="00B1603B"/>
    <w:rsid w:val="00B31B63"/>
    <w:rsid w:val="00B51898"/>
    <w:rsid w:val="00B51B86"/>
    <w:rsid w:val="00B87D60"/>
    <w:rsid w:val="00BC0BAE"/>
    <w:rsid w:val="00BE73AA"/>
    <w:rsid w:val="00BF05B7"/>
    <w:rsid w:val="00C03438"/>
    <w:rsid w:val="00C0425C"/>
    <w:rsid w:val="00C07DF0"/>
    <w:rsid w:val="00C31E5F"/>
    <w:rsid w:val="00C453C6"/>
    <w:rsid w:val="00C561BE"/>
    <w:rsid w:val="00C72DF9"/>
    <w:rsid w:val="00CA4A2C"/>
    <w:rsid w:val="00CA7807"/>
    <w:rsid w:val="00CB0F08"/>
    <w:rsid w:val="00CD3F02"/>
    <w:rsid w:val="00D011B0"/>
    <w:rsid w:val="00D12478"/>
    <w:rsid w:val="00D3110A"/>
    <w:rsid w:val="00D3527F"/>
    <w:rsid w:val="00D3565F"/>
    <w:rsid w:val="00D4072D"/>
    <w:rsid w:val="00D55414"/>
    <w:rsid w:val="00D60C2E"/>
    <w:rsid w:val="00D662B5"/>
    <w:rsid w:val="00D71A0A"/>
    <w:rsid w:val="00D743C3"/>
    <w:rsid w:val="00D864DD"/>
    <w:rsid w:val="00D96898"/>
    <w:rsid w:val="00DA7113"/>
    <w:rsid w:val="00DB32B9"/>
    <w:rsid w:val="00DC327E"/>
    <w:rsid w:val="00DC7D5F"/>
    <w:rsid w:val="00DD11DD"/>
    <w:rsid w:val="00DE3550"/>
    <w:rsid w:val="00DE53B6"/>
    <w:rsid w:val="00DF3833"/>
    <w:rsid w:val="00DF4943"/>
    <w:rsid w:val="00E029D4"/>
    <w:rsid w:val="00E04E0A"/>
    <w:rsid w:val="00E07EBD"/>
    <w:rsid w:val="00E1607B"/>
    <w:rsid w:val="00E31B4B"/>
    <w:rsid w:val="00E363BF"/>
    <w:rsid w:val="00E4644D"/>
    <w:rsid w:val="00E62730"/>
    <w:rsid w:val="00E62961"/>
    <w:rsid w:val="00E65A8C"/>
    <w:rsid w:val="00E67077"/>
    <w:rsid w:val="00E701BC"/>
    <w:rsid w:val="00E92AE8"/>
    <w:rsid w:val="00E973D2"/>
    <w:rsid w:val="00ED553E"/>
    <w:rsid w:val="00EE6596"/>
    <w:rsid w:val="00F11634"/>
    <w:rsid w:val="00F11B20"/>
    <w:rsid w:val="00F164EF"/>
    <w:rsid w:val="00F25CA6"/>
    <w:rsid w:val="00F31C6E"/>
    <w:rsid w:val="00F36DBB"/>
    <w:rsid w:val="00F52C2E"/>
    <w:rsid w:val="00F57D94"/>
    <w:rsid w:val="00F74A30"/>
    <w:rsid w:val="00F84C1B"/>
    <w:rsid w:val="00F91DA5"/>
    <w:rsid w:val="00F93091"/>
    <w:rsid w:val="00F978EE"/>
    <w:rsid w:val="00FA27FF"/>
    <w:rsid w:val="00FC3BE7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DB95"/>
  <w15:docId w15:val="{42D165B4-6A15-43B5-9D6F-A589309C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651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6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A53BD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12306C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5518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5188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5518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5518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FA276-5351-40A1-B666-9110E287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1790</Words>
  <Characters>10204</Characters>
  <Application>Microsoft Office Word</Application>
  <DocSecurity>0</DocSecurity>
  <Lines>85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</dc:creator>
  <cp:lastModifiedBy>Lopšelis-darželis Pasaka</cp:lastModifiedBy>
  <cp:revision>2</cp:revision>
  <cp:lastPrinted>2022-03-28T10:46:00Z</cp:lastPrinted>
  <dcterms:created xsi:type="dcterms:W3CDTF">2023-02-08T08:58:00Z</dcterms:created>
  <dcterms:modified xsi:type="dcterms:W3CDTF">2023-02-08T08:58:00Z</dcterms:modified>
</cp:coreProperties>
</file>